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0D0B" w14:textId="77777777" w:rsidR="00ED5F69" w:rsidRDefault="00000000">
      <w:pPr>
        <w:jc w:val="both"/>
        <w:rPr>
          <w:rFonts w:ascii="Arial" w:eastAsia="Arial" w:hAnsi="Arial" w:cs="Arial"/>
          <w:sz w:val="24"/>
          <w:szCs w:val="24"/>
        </w:rPr>
      </w:pPr>
      <w:r>
        <w:rPr>
          <w:rStyle w:val="BrakA"/>
        </w:rPr>
        <w:t xml:space="preserve">                                                      </w:t>
      </w:r>
      <w:r>
        <w:rPr>
          <w:rStyle w:val="BrakA"/>
        </w:rPr>
        <w:tab/>
      </w:r>
      <w:r>
        <w:rPr>
          <w:rStyle w:val="BrakA"/>
        </w:rPr>
        <w:tab/>
      </w:r>
      <w:r>
        <w:rPr>
          <w:rStyle w:val="BrakA"/>
        </w:rPr>
        <w:tab/>
      </w:r>
      <w:r>
        <w:rPr>
          <w:rStyle w:val="BrakA"/>
        </w:rPr>
        <w:tab/>
      </w:r>
      <w:r>
        <w:rPr>
          <w:rStyle w:val="BrakA"/>
        </w:rPr>
        <w:tab/>
      </w:r>
      <w:r>
        <w:rPr>
          <w:rStyle w:val="BrakA"/>
        </w:rPr>
        <w:tab/>
        <w:t xml:space="preserve">Warszawa, 24.03.2025 r. </w:t>
      </w:r>
    </w:p>
    <w:p w14:paraId="638B2F8B" w14:textId="77777777" w:rsidR="00ED5F69" w:rsidRDefault="00ED5F69">
      <w:pPr>
        <w:jc w:val="both"/>
        <w:rPr>
          <w:rFonts w:ascii="Arial" w:eastAsia="Arial" w:hAnsi="Arial" w:cs="Arial"/>
          <w:b/>
          <w:bCs/>
          <w:i/>
          <w:iCs/>
          <w:sz w:val="24"/>
          <w:szCs w:val="24"/>
          <w:u w:val="single"/>
        </w:rPr>
      </w:pPr>
    </w:p>
    <w:p w14:paraId="6DABCB73" w14:textId="77777777" w:rsidR="00ED5F69" w:rsidRDefault="00000000">
      <w:pPr>
        <w:jc w:val="both"/>
        <w:rPr>
          <w:rFonts w:ascii="Arial" w:eastAsia="Arial" w:hAnsi="Arial" w:cs="Arial"/>
          <w:sz w:val="24"/>
          <w:szCs w:val="24"/>
          <w:u w:val="single"/>
        </w:rPr>
      </w:pP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noProof/>
          <w:sz w:val="24"/>
          <w:szCs w:val="24"/>
        </w:rPr>
        <w:drawing>
          <wp:inline distT="0" distB="0" distL="0" distR="0" wp14:anchorId="35E73409" wp14:editId="01C3FD43">
            <wp:extent cx="1964434" cy="715316"/>
            <wp:effectExtent l="0" t="0" r="0" b="0"/>
            <wp:docPr id="1073741825" name="officeArt object"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1073741825" name="Obraz zawierający tekst, Czcionka, logo, GrafikaOpis wygenerowany automatycznie" descr="Obraz zawierający tekst, Czcionka, logo, GrafikaOpis wygenerowany automatycznie"/>
                    <pic:cNvPicPr>
                      <a:picLocks noChangeAspect="1"/>
                    </pic:cNvPicPr>
                  </pic:nvPicPr>
                  <pic:blipFill>
                    <a:blip r:embed="rId7"/>
                    <a:stretch>
                      <a:fillRect/>
                    </a:stretch>
                  </pic:blipFill>
                  <pic:spPr>
                    <a:xfrm>
                      <a:off x="0" y="0"/>
                      <a:ext cx="1964434" cy="715316"/>
                    </a:xfrm>
                    <a:prstGeom prst="rect">
                      <a:avLst/>
                    </a:prstGeom>
                    <a:ln w="12700" cap="flat">
                      <a:noFill/>
                      <a:miter lim="400000"/>
                    </a:ln>
                    <a:effectLst/>
                  </pic:spPr>
                </pic:pic>
              </a:graphicData>
            </a:graphic>
          </wp:inline>
        </w:drawing>
      </w:r>
    </w:p>
    <w:p w14:paraId="72A8E074" w14:textId="77777777" w:rsidR="00ED5F69" w:rsidRDefault="00ED5F69">
      <w:pPr>
        <w:spacing w:line="216" w:lineRule="auto"/>
        <w:jc w:val="center"/>
        <w:rPr>
          <w:rFonts w:ascii="Arial Black" w:eastAsia="Arial Black" w:hAnsi="Arial Black" w:cs="Arial Black"/>
          <w:caps/>
          <w:color w:val="AF2F32"/>
          <w:u w:val="single" w:color="AF2F32"/>
        </w:rPr>
      </w:pPr>
    </w:p>
    <w:p w14:paraId="53B7AEB6" w14:textId="1E2CE3A5" w:rsidR="00ED5F69" w:rsidRDefault="00000000">
      <w:pPr>
        <w:spacing w:line="216" w:lineRule="auto"/>
        <w:jc w:val="center"/>
        <w:rPr>
          <w:rFonts w:ascii="Arial Black" w:eastAsia="Arial Black" w:hAnsi="Arial Black" w:cs="Arial Black"/>
          <w:caps/>
          <w:color w:val="AF2F32"/>
          <w:sz w:val="28"/>
          <w:szCs w:val="28"/>
          <w:u w:color="AF2F32"/>
        </w:rPr>
      </w:pPr>
      <w:r>
        <w:rPr>
          <w:rFonts w:ascii="Arial Black" w:hAnsi="Arial Black"/>
          <w:caps/>
          <w:color w:val="AF2F32"/>
          <w:sz w:val="28"/>
          <w:szCs w:val="28"/>
          <w:u w:color="AF2F32"/>
          <w:lang w:val="es-ES_tradnl"/>
        </w:rPr>
        <w:t>zespÓł deregulacyjny Rafała brzoski i zebrANE postulatY środowiska przedsiębiorców</w:t>
      </w:r>
    </w:p>
    <w:p w14:paraId="48B65D99" w14:textId="77777777" w:rsidR="00ED5F69" w:rsidRDefault="00ED5F69">
      <w:pPr>
        <w:spacing w:line="216" w:lineRule="auto"/>
        <w:jc w:val="center"/>
        <w:rPr>
          <w:rFonts w:ascii="Arial Black" w:eastAsia="Arial Black" w:hAnsi="Arial Black" w:cs="Arial Black"/>
          <w:caps/>
          <w:color w:val="AF2F32"/>
          <w:sz w:val="28"/>
          <w:szCs w:val="28"/>
          <w:u w:color="AF2F32"/>
          <w:lang w:val="es-ES_tradnl"/>
        </w:rPr>
      </w:pPr>
    </w:p>
    <w:p w14:paraId="17319C7D" w14:textId="77777777" w:rsidR="00ED5F69" w:rsidRDefault="00ED5F69">
      <w:pPr>
        <w:spacing w:line="216" w:lineRule="auto"/>
        <w:jc w:val="center"/>
        <w:rPr>
          <w:b/>
          <w:bCs/>
        </w:rPr>
      </w:pPr>
    </w:p>
    <w:p w14:paraId="654D1C15" w14:textId="26396382"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b/>
          <w:bCs/>
          <w:color w:val="212121"/>
          <w:sz w:val="22"/>
          <w:szCs w:val="22"/>
          <w:u w:color="212121"/>
        </w:rPr>
      </w:pPr>
      <w:r>
        <w:rPr>
          <w:rFonts w:ascii="Arial" w:hAnsi="Arial"/>
          <w:b/>
          <w:bCs/>
          <w:color w:val="212121"/>
          <w:sz w:val="22"/>
          <w:szCs w:val="22"/>
          <w:u w:color="212121"/>
        </w:rPr>
        <w:t xml:space="preserve">W </w:t>
      </w:r>
      <w:r>
        <w:rPr>
          <w:rFonts w:ascii="Arial" w:hAnsi="Arial"/>
          <w:b/>
          <w:bCs/>
          <w:sz w:val="22"/>
          <w:szCs w:val="22"/>
        </w:rPr>
        <w:t>posiedzeni</w:t>
      </w:r>
      <w:r w:rsidR="00473660">
        <w:rPr>
          <w:rFonts w:ascii="Arial" w:hAnsi="Arial"/>
          <w:b/>
          <w:bCs/>
          <w:sz w:val="22"/>
          <w:szCs w:val="22"/>
        </w:rPr>
        <w:t>u</w:t>
      </w:r>
      <w:r w:rsidR="00A24994">
        <w:rPr>
          <w:rFonts w:ascii="Arial" w:hAnsi="Arial"/>
          <w:b/>
          <w:bCs/>
          <w:sz w:val="22"/>
          <w:szCs w:val="22"/>
        </w:rPr>
        <w:t xml:space="preserve"> </w:t>
      </w:r>
      <w:r>
        <w:rPr>
          <w:rFonts w:ascii="Arial" w:hAnsi="Arial"/>
          <w:b/>
          <w:bCs/>
          <w:sz w:val="22"/>
          <w:szCs w:val="22"/>
        </w:rPr>
        <w:t xml:space="preserve">sejmowej Komisji Gospodarki i Rozwoju na temat propozycji zespołu </w:t>
      </w:r>
      <w:proofErr w:type="spellStart"/>
      <w:r>
        <w:rPr>
          <w:rFonts w:ascii="Arial" w:hAnsi="Arial"/>
          <w:b/>
          <w:bCs/>
          <w:sz w:val="22"/>
          <w:szCs w:val="22"/>
        </w:rPr>
        <w:t>deregulacyjnego</w:t>
      </w:r>
      <w:proofErr w:type="spellEnd"/>
      <w:r>
        <w:rPr>
          <w:rFonts w:ascii="Arial" w:hAnsi="Arial"/>
          <w:b/>
          <w:bCs/>
          <w:sz w:val="22"/>
          <w:szCs w:val="22"/>
        </w:rPr>
        <w:t xml:space="preserve"> Rafała Brzoski i zebranych </w:t>
      </w:r>
      <w:r w:rsidR="00473660">
        <w:rPr>
          <w:rFonts w:ascii="Arial" w:hAnsi="Arial"/>
          <w:b/>
          <w:bCs/>
          <w:sz w:val="22"/>
          <w:szCs w:val="22"/>
        </w:rPr>
        <w:t xml:space="preserve">postulatów </w:t>
      </w:r>
      <w:r>
        <w:rPr>
          <w:rFonts w:ascii="Arial" w:hAnsi="Arial"/>
          <w:b/>
          <w:bCs/>
          <w:sz w:val="22"/>
          <w:szCs w:val="22"/>
        </w:rPr>
        <w:t xml:space="preserve">środowiska </w:t>
      </w:r>
      <w:proofErr w:type="spellStart"/>
      <w:r>
        <w:rPr>
          <w:rFonts w:ascii="Arial" w:hAnsi="Arial"/>
          <w:b/>
          <w:bCs/>
          <w:sz w:val="22"/>
          <w:szCs w:val="22"/>
        </w:rPr>
        <w:t>przedsiębiorc</w:t>
      </w:r>
      <w:proofErr w:type="spellEnd"/>
      <w:r>
        <w:rPr>
          <w:rFonts w:ascii="Arial" w:hAnsi="Arial"/>
          <w:b/>
          <w:bCs/>
          <w:sz w:val="22"/>
          <w:szCs w:val="22"/>
          <w:lang w:val="es-ES_tradnl"/>
        </w:rPr>
        <w:t>ó</w:t>
      </w:r>
      <w:r>
        <w:rPr>
          <w:rFonts w:ascii="Arial" w:hAnsi="Arial"/>
          <w:b/>
          <w:bCs/>
          <w:sz w:val="22"/>
          <w:szCs w:val="22"/>
        </w:rPr>
        <w:t xml:space="preserve">w </w:t>
      </w:r>
      <w:r>
        <w:rPr>
          <w:rFonts w:ascii="Arial" w:hAnsi="Arial"/>
          <w:b/>
          <w:bCs/>
          <w:color w:val="212121"/>
          <w:sz w:val="22"/>
          <w:szCs w:val="22"/>
          <w:u w:color="212121"/>
        </w:rPr>
        <w:t>uczestniczyli: K</w:t>
      </w:r>
      <w:r w:rsidR="00473660">
        <w:rPr>
          <w:rFonts w:ascii="Arial" w:hAnsi="Arial"/>
          <w:b/>
          <w:bCs/>
          <w:color w:val="212121"/>
          <w:sz w:val="22"/>
          <w:szCs w:val="22"/>
          <w:u w:color="212121"/>
        </w:rPr>
        <w:t>rzysztof</w:t>
      </w:r>
      <w:r>
        <w:rPr>
          <w:rFonts w:ascii="Arial" w:hAnsi="Arial"/>
          <w:b/>
          <w:bCs/>
          <w:color w:val="212121"/>
          <w:sz w:val="22"/>
          <w:szCs w:val="22"/>
          <w:u w:color="212121"/>
        </w:rPr>
        <w:t xml:space="preserve"> </w:t>
      </w:r>
      <w:proofErr w:type="spellStart"/>
      <w:r>
        <w:rPr>
          <w:rFonts w:ascii="Arial" w:hAnsi="Arial"/>
          <w:b/>
          <w:bCs/>
          <w:color w:val="212121"/>
          <w:sz w:val="22"/>
          <w:szCs w:val="22"/>
          <w:u w:color="212121"/>
        </w:rPr>
        <w:t>Paszyk</w:t>
      </w:r>
      <w:proofErr w:type="spellEnd"/>
      <w:r>
        <w:rPr>
          <w:rFonts w:ascii="Arial" w:hAnsi="Arial"/>
          <w:b/>
          <w:bCs/>
          <w:color w:val="212121"/>
          <w:sz w:val="22"/>
          <w:szCs w:val="22"/>
          <w:u w:color="212121"/>
        </w:rPr>
        <w:t xml:space="preserve">, </w:t>
      </w:r>
      <w:r w:rsidR="00473660">
        <w:rPr>
          <w:rFonts w:ascii="Arial" w:hAnsi="Arial"/>
          <w:b/>
          <w:bCs/>
          <w:color w:val="212121"/>
          <w:sz w:val="22"/>
          <w:szCs w:val="22"/>
          <w:u w:color="212121"/>
        </w:rPr>
        <w:t>m</w:t>
      </w:r>
      <w:r>
        <w:rPr>
          <w:rFonts w:ascii="Arial" w:hAnsi="Arial"/>
          <w:b/>
          <w:bCs/>
          <w:color w:val="212121"/>
          <w:sz w:val="22"/>
          <w:szCs w:val="22"/>
          <w:u w:color="212121"/>
        </w:rPr>
        <w:t xml:space="preserve">inister </w:t>
      </w:r>
      <w:r w:rsidR="00473660">
        <w:rPr>
          <w:rFonts w:ascii="Arial" w:hAnsi="Arial"/>
          <w:b/>
          <w:bCs/>
          <w:color w:val="212121"/>
          <w:sz w:val="22"/>
          <w:szCs w:val="22"/>
          <w:u w:color="212121"/>
        </w:rPr>
        <w:t xml:space="preserve">rozwoju </w:t>
      </w:r>
      <w:r>
        <w:rPr>
          <w:rFonts w:ascii="Arial" w:hAnsi="Arial"/>
          <w:b/>
          <w:bCs/>
          <w:color w:val="212121"/>
          <w:sz w:val="22"/>
          <w:szCs w:val="22"/>
          <w:u w:color="212121"/>
        </w:rPr>
        <w:t xml:space="preserve">i </w:t>
      </w:r>
      <w:r w:rsidR="00473660">
        <w:rPr>
          <w:rFonts w:ascii="Arial" w:hAnsi="Arial"/>
          <w:b/>
          <w:bCs/>
          <w:color w:val="212121"/>
          <w:sz w:val="22"/>
          <w:szCs w:val="22"/>
          <w:u w:color="212121"/>
        </w:rPr>
        <w:t>technologii</w:t>
      </w:r>
      <w:r>
        <w:rPr>
          <w:rFonts w:ascii="Arial" w:hAnsi="Arial"/>
          <w:b/>
          <w:bCs/>
          <w:color w:val="212121"/>
          <w:sz w:val="22"/>
          <w:szCs w:val="22"/>
          <w:u w:color="212121"/>
        </w:rPr>
        <w:t>; W</w:t>
      </w:r>
      <w:r w:rsidR="00473660">
        <w:rPr>
          <w:rFonts w:ascii="Arial" w:hAnsi="Arial"/>
          <w:b/>
          <w:bCs/>
          <w:color w:val="212121"/>
          <w:sz w:val="22"/>
          <w:szCs w:val="22"/>
          <w:u w:color="212121"/>
        </w:rPr>
        <w:t>aldemar</w:t>
      </w:r>
      <w:r>
        <w:rPr>
          <w:rFonts w:ascii="Arial" w:hAnsi="Arial"/>
          <w:b/>
          <w:bCs/>
          <w:color w:val="212121"/>
          <w:sz w:val="22"/>
          <w:szCs w:val="22"/>
          <w:u w:color="212121"/>
        </w:rPr>
        <w:t xml:space="preserve"> Pawlak, przewodniczący senackiej Komisji Gospodarki Narodowej i Innowacyjności; </w:t>
      </w:r>
      <w:proofErr w:type="spellStart"/>
      <w:r>
        <w:rPr>
          <w:rFonts w:ascii="Arial" w:hAnsi="Arial"/>
          <w:b/>
          <w:bCs/>
          <w:color w:val="212121"/>
          <w:sz w:val="22"/>
          <w:szCs w:val="22"/>
          <w:u w:color="212121"/>
        </w:rPr>
        <w:t>R</w:t>
      </w:r>
      <w:r w:rsidR="00473660">
        <w:rPr>
          <w:rFonts w:ascii="Arial" w:hAnsi="Arial"/>
          <w:b/>
          <w:bCs/>
          <w:color w:val="212121"/>
          <w:sz w:val="22"/>
          <w:szCs w:val="22"/>
          <w:u w:color="212121"/>
        </w:rPr>
        <w:t>afał</w:t>
      </w:r>
      <w:r>
        <w:rPr>
          <w:rFonts w:ascii="Arial" w:hAnsi="Arial"/>
          <w:b/>
          <w:bCs/>
          <w:color w:val="212121"/>
          <w:sz w:val="22"/>
          <w:szCs w:val="22"/>
          <w:u w:color="212121"/>
        </w:rPr>
        <w:t>Brzoska</w:t>
      </w:r>
      <w:proofErr w:type="spellEnd"/>
      <w:r>
        <w:rPr>
          <w:rFonts w:ascii="Arial" w:hAnsi="Arial"/>
          <w:b/>
          <w:bCs/>
          <w:color w:val="212121"/>
          <w:sz w:val="22"/>
          <w:szCs w:val="22"/>
          <w:u w:color="212121"/>
        </w:rPr>
        <w:t xml:space="preserve">, przewodniczący Zespołu </w:t>
      </w:r>
      <w:proofErr w:type="spellStart"/>
      <w:r>
        <w:rPr>
          <w:rFonts w:ascii="Arial" w:hAnsi="Arial"/>
          <w:b/>
          <w:bCs/>
          <w:color w:val="212121"/>
          <w:sz w:val="22"/>
          <w:szCs w:val="22"/>
          <w:u w:color="212121"/>
        </w:rPr>
        <w:t>Deregulacyjnego</w:t>
      </w:r>
      <w:proofErr w:type="spellEnd"/>
      <w:r>
        <w:rPr>
          <w:rFonts w:ascii="Arial" w:hAnsi="Arial"/>
          <w:b/>
          <w:bCs/>
          <w:color w:val="212121"/>
          <w:sz w:val="22"/>
          <w:szCs w:val="22"/>
          <w:u w:color="212121"/>
        </w:rPr>
        <w:t xml:space="preserve"> oraz </w:t>
      </w:r>
      <w:r w:rsidR="00473660">
        <w:rPr>
          <w:rFonts w:ascii="Arial" w:hAnsi="Arial"/>
          <w:b/>
          <w:bCs/>
          <w:color w:val="212121"/>
          <w:sz w:val="22"/>
          <w:szCs w:val="22"/>
          <w:u w:color="212121"/>
        </w:rPr>
        <w:t xml:space="preserve">liczni </w:t>
      </w:r>
      <w:r>
        <w:rPr>
          <w:rFonts w:ascii="Arial" w:hAnsi="Arial"/>
          <w:b/>
          <w:bCs/>
          <w:color w:val="212121"/>
          <w:sz w:val="22"/>
          <w:szCs w:val="22"/>
          <w:u w:color="212121"/>
        </w:rPr>
        <w:t>posłowie</w:t>
      </w:r>
      <w:r w:rsidR="00473660">
        <w:rPr>
          <w:rFonts w:ascii="Arial" w:hAnsi="Arial"/>
          <w:b/>
          <w:bCs/>
          <w:color w:val="212121"/>
          <w:sz w:val="22"/>
          <w:szCs w:val="22"/>
          <w:u w:color="212121"/>
        </w:rPr>
        <w:t>.</w:t>
      </w:r>
      <w:r w:rsidR="00A24994">
        <w:rPr>
          <w:rFonts w:ascii="Arial" w:hAnsi="Arial"/>
          <w:b/>
          <w:bCs/>
          <w:color w:val="212121"/>
          <w:sz w:val="22"/>
          <w:szCs w:val="22"/>
          <w:u w:color="212121"/>
        </w:rPr>
        <w:t xml:space="preserve"> </w:t>
      </w:r>
      <w:r>
        <w:rPr>
          <w:rFonts w:ascii="Arial" w:hAnsi="Arial"/>
          <w:b/>
          <w:bCs/>
          <w:color w:val="212121"/>
          <w:sz w:val="22"/>
          <w:szCs w:val="22"/>
          <w:u w:color="212121"/>
        </w:rPr>
        <w:t xml:space="preserve">Business Centre Club reprezentował </w:t>
      </w:r>
      <w:r w:rsidRPr="00A24994">
        <w:rPr>
          <w:rFonts w:ascii="Arial" w:hAnsi="Arial"/>
          <w:b/>
          <w:bCs/>
          <w:color w:val="212121"/>
          <w:sz w:val="22"/>
          <w:szCs w:val="22"/>
          <w:u w:color="212121"/>
        </w:rPr>
        <w:t>Witold Micha</w:t>
      </w:r>
      <w:r>
        <w:rPr>
          <w:rFonts w:ascii="Arial" w:hAnsi="Arial"/>
          <w:b/>
          <w:bCs/>
          <w:color w:val="212121"/>
          <w:sz w:val="22"/>
          <w:szCs w:val="22"/>
          <w:u w:color="212121"/>
        </w:rPr>
        <w:t>łek, wiceprezes BCC, ekspert BCC ds. gospodarki, legislacji i lobbingu.</w:t>
      </w:r>
    </w:p>
    <w:p w14:paraId="5A3B4611"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u w:color="212121"/>
        </w:rPr>
      </w:pPr>
    </w:p>
    <w:p w14:paraId="0F8E1D48" w14:textId="02AB3837"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rPr>
        <w:t xml:space="preserve">Spotkanie </w:t>
      </w:r>
      <w:r>
        <w:rPr>
          <w:rFonts w:ascii="Helvetica" w:hAnsi="Helvetica"/>
          <w:color w:val="212121"/>
          <w:sz w:val="22"/>
          <w:szCs w:val="22"/>
          <w:u w:color="212121"/>
          <w:lang w:val="it-IT"/>
        </w:rPr>
        <w:t>dot</w:t>
      </w:r>
      <w:proofErr w:type="spellStart"/>
      <w:r>
        <w:rPr>
          <w:rFonts w:ascii="Helvetica" w:hAnsi="Helvetica"/>
          <w:color w:val="212121"/>
          <w:sz w:val="22"/>
          <w:szCs w:val="22"/>
          <w:u w:color="212121"/>
        </w:rPr>
        <w:t>yczące</w:t>
      </w:r>
      <w:proofErr w:type="spellEnd"/>
      <w:r>
        <w:rPr>
          <w:rFonts w:ascii="Helvetica" w:hAnsi="Helvetica"/>
          <w:color w:val="212121"/>
          <w:sz w:val="22"/>
          <w:szCs w:val="22"/>
          <w:u w:color="212121"/>
        </w:rPr>
        <w:t xml:space="preserve"> kontekstu pracy zespołu, celu oraz procedur działania</w:t>
      </w:r>
      <w:r w:rsidR="00A24994">
        <w:rPr>
          <w:rFonts w:ascii="Helvetica" w:hAnsi="Helvetica"/>
          <w:color w:val="212121"/>
          <w:sz w:val="22"/>
          <w:szCs w:val="22"/>
          <w:u w:color="212121"/>
        </w:rPr>
        <w:t xml:space="preserve"> </w:t>
      </w:r>
      <w:r>
        <w:rPr>
          <w:rFonts w:ascii="Helvetica" w:hAnsi="Helvetica"/>
          <w:color w:val="212121"/>
          <w:sz w:val="22"/>
          <w:szCs w:val="22"/>
          <w:u w:color="212121"/>
        </w:rPr>
        <w:t>miało charakter informacyjny.</w:t>
      </w:r>
    </w:p>
    <w:p w14:paraId="5A060CED"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u w:color="212121"/>
        </w:rPr>
      </w:pPr>
    </w:p>
    <w:p w14:paraId="352ABBA9" w14:textId="77777777"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Rafał Brzoska i współpracownicy Projektu SprawdzaMY – Inicjatywa Przedsiębiorcy                     dla Polski wskazali między innymi, że:</w:t>
      </w:r>
    </w:p>
    <w:p w14:paraId="436E1AE3"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720A3DCB" w14:textId="27CB9A65" w:rsidR="00ED5F69" w:rsidRDefault="00000000">
      <w:pPr>
        <w:pStyle w:val="DomylneA"/>
        <w:numPr>
          <w:ilvl w:val="0"/>
          <w:numId w:val="2"/>
        </w:numPr>
        <w:suppressAutoHyphens/>
        <w:spacing w:before="0" w:line="240" w:lineRule="auto"/>
        <w:rPr>
          <w:sz w:val="22"/>
          <w:szCs w:val="22"/>
          <w:lang w:val="nl-NL"/>
        </w:rPr>
      </w:pPr>
      <w:r>
        <w:rPr>
          <w:rFonts w:ascii="Helvetica" w:hAnsi="Helvetica"/>
          <w:color w:val="212121"/>
          <w:sz w:val="22"/>
          <w:szCs w:val="22"/>
          <w:u w:color="212121"/>
          <w:lang w:val="nl-NL"/>
        </w:rPr>
        <w:t>na stronie internetowej SprawdzaMY zamieszczono 300 zweryfikowanych wstępnie propozycji deregulacyjnych. W 70% dotyczą one problemów wszystkich obywateli,                           a w 30%</w:t>
      </w:r>
      <w:r w:rsidR="00473660">
        <w:rPr>
          <w:rFonts w:ascii="Helvetica" w:hAnsi="Helvetica"/>
          <w:color w:val="212121"/>
          <w:sz w:val="22"/>
          <w:szCs w:val="22"/>
          <w:u w:color="212121"/>
          <w:lang w:val="nl-NL"/>
        </w:rPr>
        <w:t xml:space="preserve"> -</w:t>
      </w:r>
      <w:r>
        <w:rPr>
          <w:rFonts w:ascii="Helvetica" w:hAnsi="Helvetica"/>
          <w:color w:val="212121"/>
          <w:sz w:val="22"/>
          <w:szCs w:val="22"/>
          <w:u w:color="212121"/>
          <w:lang w:val="nl-NL"/>
        </w:rPr>
        <w:t xml:space="preserve"> problemów samych przedsiębiorców.</w:t>
      </w:r>
    </w:p>
    <w:p w14:paraId="0DF191F4"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07790533" w14:textId="77777777" w:rsidR="00ED5F69" w:rsidRDefault="00000000">
      <w:pPr>
        <w:pStyle w:val="DomylneA"/>
        <w:numPr>
          <w:ilvl w:val="0"/>
          <w:numId w:val="2"/>
        </w:numPr>
        <w:suppressAutoHyphens/>
        <w:spacing w:before="0" w:line="240" w:lineRule="auto"/>
        <w:rPr>
          <w:sz w:val="22"/>
          <w:szCs w:val="22"/>
          <w:lang w:val="nl-NL"/>
        </w:rPr>
      </w:pPr>
      <w:r>
        <w:rPr>
          <w:rFonts w:ascii="Helvetica" w:hAnsi="Helvetica"/>
          <w:color w:val="212121"/>
          <w:sz w:val="22"/>
          <w:szCs w:val="22"/>
          <w:u w:color="212121"/>
          <w:lang w:val="nl-NL"/>
        </w:rPr>
        <w:t>powołano 27 zespołów problemowych, które selekcjonują i analizują nadsyłane propozycje,</w:t>
      </w:r>
    </w:p>
    <w:p w14:paraId="48C93AE9"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6AE5DE20" w14:textId="273AC9A9" w:rsidR="00ED5F69" w:rsidRDefault="00000000">
      <w:pPr>
        <w:pStyle w:val="DomylneA"/>
        <w:numPr>
          <w:ilvl w:val="0"/>
          <w:numId w:val="2"/>
        </w:numPr>
        <w:suppressAutoHyphens/>
        <w:spacing w:before="0" w:line="240" w:lineRule="auto"/>
        <w:rPr>
          <w:sz w:val="22"/>
          <w:szCs w:val="22"/>
          <w:lang w:val="nl-NL"/>
        </w:rPr>
      </w:pPr>
      <w:r>
        <w:rPr>
          <w:rFonts w:ascii="Helvetica" w:hAnsi="Helvetica"/>
          <w:color w:val="212121"/>
          <w:sz w:val="22"/>
          <w:szCs w:val="22"/>
          <w:u w:color="212121"/>
          <w:lang w:val="nl-NL"/>
        </w:rPr>
        <w:t>oryginalnie proponowany zakres działania zespołu – czyli rozporządzenia wykonawcze stanowią jedynie ok. 3% wszystkich nadsyłanych propozycji, pozostałe to ustawy oraz regulacje unijne</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 xml:space="preserve"> dlatego zespół rozszerzył obszar regulacyjny, jakim się zajmuje,</w:t>
      </w:r>
    </w:p>
    <w:p w14:paraId="0F875788"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5635B114" w14:textId="5058B38E" w:rsidR="00ED5F69" w:rsidRDefault="00000000">
      <w:pPr>
        <w:pStyle w:val="DomylneA"/>
        <w:numPr>
          <w:ilvl w:val="0"/>
          <w:numId w:val="2"/>
        </w:numPr>
        <w:suppressAutoHyphens/>
        <w:spacing w:before="0" w:line="240" w:lineRule="auto"/>
        <w:rPr>
          <w:sz w:val="22"/>
          <w:szCs w:val="22"/>
          <w:lang w:val="nl-NL"/>
        </w:rPr>
      </w:pPr>
      <w:r>
        <w:rPr>
          <w:rFonts w:ascii="Helvetica" w:hAnsi="Helvetica"/>
          <w:color w:val="212121"/>
          <w:sz w:val="22"/>
          <w:szCs w:val="22"/>
          <w:u w:color="212121"/>
          <w:lang w:val="nl-NL"/>
        </w:rPr>
        <w:t>4-osobowy Komitet Sterujący stanowi drugą instancję selekcjonowania propozycji deregulacyjnych, które następnie, po 2 tygodniach analiz przesyłane są, w postaci tzw. „formatek”</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 xml:space="preserve"> do nowo powołanego Rządowego Zespołu Deregulacyjnego pod przewodnictwem min</w:t>
      </w:r>
      <w:r w:rsidR="00473660">
        <w:rPr>
          <w:rFonts w:ascii="Helvetica" w:hAnsi="Helvetica"/>
          <w:color w:val="212121"/>
          <w:sz w:val="22"/>
          <w:szCs w:val="22"/>
          <w:u w:color="212121"/>
          <w:lang w:val="nl-NL"/>
        </w:rPr>
        <w:t>istra Macieja</w:t>
      </w:r>
      <w:r>
        <w:rPr>
          <w:rFonts w:ascii="Helvetica" w:hAnsi="Helvetica"/>
          <w:color w:val="212121"/>
          <w:sz w:val="22"/>
          <w:szCs w:val="22"/>
          <w:u w:color="212121"/>
          <w:lang w:val="nl-NL"/>
        </w:rPr>
        <w:t>Berka. Powołano także 2 wewnętrzne zespoły prawnicze,</w:t>
      </w:r>
    </w:p>
    <w:p w14:paraId="64D740B4"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30DA1D92" w14:textId="4F591CFE"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 xml:space="preserve">Rządowy Zespół Deregulacyjny zadeklarował, że w ciągu 100 dni przeanalizuje „formatki” nadając im zielony </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tak</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 xml:space="preserve">, żółty </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zmiany</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 xml:space="preserve">, lub czerwony </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nie</w:t>
      </w:r>
      <w:r w:rsidR="00473660">
        <w:rPr>
          <w:rFonts w:ascii="Helvetica" w:hAnsi="Helvetica"/>
          <w:color w:val="212121"/>
          <w:sz w:val="22"/>
          <w:szCs w:val="22"/>
          <w:u w:color="212121"/>
          <w:lang w:val="nl-NL"/>
        </w:rPr>
        <w:t>)</w:t>
      </w:r>
      <w:r>
        <w:rPr>
          <w:rFonts w:ascii="Helvetica" w:hAnsi="Helvetica"/>
          <w:color w:val="212121"/>
          <w:sz w:val="22"/>
          <w:szCs w:val="22"/>
          <w:u w:color="212121"/>
          <w:lang w:val="nl-NL"/>
        </w:rPr>
        <w:t xml:space="preserve"> kolor przed dyskusją i przyjęciem przez Radę Ministrów.</w:t>
      </w:r>
    </w:p>
    <w:p w14:paraId="3AAD3E42"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233A4A1D" w14:textId="28BA0E79"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Zgłoszenia propozycji podzielono na 7 bloków</w:t>
      </w:r>
      <w:r w:rsidR="00473660">
        <w:rPr>
          <w:rFonts w:ascii="Helvetica" w:hAnsi="Helvetica"/>
          <w:color w:val="212121"/>
          <w:sz w:val="22"/>
          <w:szCs w:val="22"/>
          <w:u w:color="212121"/>
          <w:lang w:val="nl-NL"/>
        </w:rPr>
        <w:t xml:space="preserve">, </w:t>
      </w:r>
      <w:r>
        <w:rPr>
          <w:rFonts w:ascii="Helvetica" w:hAnsi="Helvetica"/>
          <w:color w:val="212121"/>
          <w:sz w:val="22"/>
          <w:szCs w:val="22"/>
          <w:u w:color="212121"/>
          <w:lang w:val="nl-NL"/>
        </w:rPr>
        <w:t>w tym:</w:t>
      </w:r>
    </w:p>
    <w:p w14:paraId="0E39EFBD"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lang w:val="nl-NL"/>
        </w:rPr>
      </w:pPr>
    </w:p>
    <w:p w14:paraId="5FAED7C9" w14:textId="7D983C1E" w:rsidR="00ED5F69" w:rsidRDefault="00473660">
      <w:pPr>
        <w:pStyle w:val="DomylneA"/>
        <w:numPr>
          <w:ilvl w:val="0"/>
          <w:numId w:val="2"/>
        </w:numPr>
        <w:suppressAutoHyphens/>
        <w:spacing w:before="0" w:line="240" w:lineRule="auto"/>
        <w:rPr>
          <w:sz w:val="22"/>
          <w:szCs w:val="22"/>
          <w:lang w:val="nl-NL"/>
        </w:rPr>
      </w:pPr>
      <w:r>
        <w:rPr>
          <w:rFonts w:ascii="Helvetica" w:hAnsi="Helvetica"/>
          <w:color w:val="212121"/>
          <w:sz w:val="22"/>
          <w:szCs w:val="22"/>
          <w:u w:color="212121"/>
          <w:lang w:val="nl-NL"/>
        </w:rPr>
        <w:t xml:space="preserve">projekty </w:t>
      </w:r>
      <w:r w:rsidR="00000000">
        <w:rPr>
          <w:rFonts w:ascii="Helvetica" w:hAnsi="Helvetica"/>
          <w:color w:val="212121"/>
          <w:sz w:val="22"/>
          <w:szCs w:val="22"/>
          <w:u w:color="212121"/>
          <w:lang w:val="nl-NL"/>
        </w:rPr>
        <w:t>zdrowotne i dot. niepełnosprawności. Chodzi np. o niepotrzebne ubieganie się o zaświadczenia o niepełnosprawności przez osoby z trwałą niepełnosprawnością,</w:t>
      </w:r>
      <w:r w:rsidR="00A24994">
        <w:rPr>
          <w:rFonts w:ascii="Helvetica" w:hAnsi="Helvetica"/>
          <w:color w:val="212121"/>
          <w:sz w:val="22"/>
          <w:szCs w:val="22"/>
          <w:u w:color="212121"/>
          <w:lang w:val="nl-NL"/>
        </w:rPr>
        <w:br/>
      </w:r>
    </w:p>
    <w:p w14:paraId="519927B7" w14:textId="54473632" w:rsidR="00ED5F69" w:rsidRDefault="0047366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 xml:space="preserve">- uproszczenie podatków – np. powinno obowiązywać „domniemanie niewinności” podatnika, podobnie jak w prawie karnym. To jemu trzeba udowodnić przekroczenie prawa, a nie </w:t>
      </w:r>
      <w:r>
        <w:rPr>
          <w:rFonts w:ascii="Helvetica" w:hAnsi="Helvetica"/>
          <w:color w:val="212121"/>
          <w:sz w:val="22"/>
          <w:szCs w:val="22"/>
          <w:u w:color="212121"/>
          <w:lang w:val="nl-NL"/>
        </w:rPr>
        <w:lastRenderedPageBreak/>
        <w:t>odwrotnie. Np. terminy instrukcyjne są przez urzędy podatkowe i inne nagminnie ignorowane. Tylko 15% jest dotrzymywanych.  Chodzi o zmuszenie urzędów podatkowych do ich przestrzegania. Zespół wybrał z tego 300 przykładów do dalszego procedowania.  Jeśli terminy instrukcyjne będą tu przekroczone – oznaczać to powinno tzw. „milczącą zgodę”.</w:t>
      </w:r>
      <w:r w:rsidR="00A24994">
        <w:rPr>
          <w:rFonts w:ascii="Helvetica" w:hAnsi="Helvetica"/>
          <w:color w:val="212121"/>
          <w:sz w:val="22"/>
          <w:szCs w:val="22"/>
          <w:u w:color="212121"/>
          <w:lang w:val="nl-NL"/>
        </w:rPr>
        <w:br/>
      </w:r>
    </w:p>
    <w:p w14:paraId="7B956E52" w14:textId="4AF71147"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 xml:space="preserve">- </w:t>
      </w:r>
      <w:r w:rsidR="00473660">
        <w:rPr>
          <w:rFonts w:ascii="Helvetica" w:hAnsi="Helvetica"/>
          <w:color w:val="212121"/>
          <w:sz w:val="22"/>
          <w:szCs w:val="22"/>
          <w:u w:color="212121"/>
          <w:lang w:val="nl-NL"/>
        </w:rPr>
        <w:t xml:space="preserve">odblokowanie </w:t>
      </w:r>
      <w:r>
        <w:rPr>
          <w:rFonts w:ascii="Helvetica" w:hAnsi="Helvetica"/>
          <w:color w:val="212121"/>
          <w:sz w:val="22"/>
          <w:szCs w:val="22"/>
          <w:u w:color="212121"/>
          <w:lang w:val="nl-NL"/>
        </w:rPr>
        <w:t>sądownictwa – np. należy rozszerzyć e-sądy, alokować sprawy do sądów mniej obciążonych, etc. Zaległa faktura (do 50 tys. zł) powinna zostać objęta klauzulą natychmiastowej wykonalności jako podstawy do automatycznej interwencji komornika,z pominięciem sądu, bo firma zalegająca już ją „zaakceptowała” w swoim bilansie,</w:t>
      </w:r>
      <w:r w:rsidR="00A24994">
        <w:rPr>
          <w:rFonts w:ascii="Helvetica" w:hAnsi="Helvetica"/>
          <w:color w:val="212121"/>
          <w:sz w:val="22"/>
          <w:szCs w:val="22"/>
          <w:u w:color="212121"/>
          <w:lang w:val="nl-NL"/>
        </w:rPr>
        <w:br/>
      </w:r>
    </w:p>
    <w:p w14:paraId="2EB62DA3" w14:textId="035EA6F7"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 xml:space="preserve">- </w:t>
      </w:r>
      <w:r w:rsidR="00473660">
        <w:rPr>
          <w:rFonts w:ascii="Helvetica" w:hAnsi="Helvetica"/>
          <w:color w:val="212121"/>
          <w:sz w:val="22"/>
          <w:szCs w:val="22"/>
          <w:u w:color="212121"/>
          <w:lang w:val="nl-NL"/>
        </w:rPr>
        <w:t>r</w:t>
      </w:r>
      <w:r>
        <w:rPr>
          <w:rFonts w:ascii="Helvetica" w:hAnsi="Helvetica"/>
          <w:color w:val="212121"/>
          <w:sz w:val="22"/>
          <w:szCs w:val="22"/>
          <w:u w:color="212121"/>
          <w:lang w:val="nl-NL"/>
        </w:rPr>
        <w:t>ozszerzenie cyfryzacji urzędów. Zrównanie ważności dokumentów elektronicznych                      z papierowymi. Np. większy dostęp do wyników badań pacjentów za pośrednictwem portalu M-obywatel etc.</w:t>
      </w:r>
      <w:r w:rsidR="00A24994">
        <w:rPr>
          <w:rFonts w:ascii="Helvetica" w:hAnsi="Helvetica"/>
          <w:color w:val="212121"/>
          <w:sz w:val="22"/>
          <w:szCs w:val="22"/>
          <w:u w:color="212121"/>
          <w:lang w:val="nl-NL"/>
        </w:rPr>
        <w:br/>
      </w:r>
    </w:p>
    <w:p w14:paraId="1E0184C8" w14:textId="583D730E" w:rsidR="00ED5F69" w:rsidRDefault="0000000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eastAsia="Helvetica" w:hAnsi="Helvetica" w:cs="Helvetica"/>
          <w:color w:val="212121"/>
          <w:sz w:val="22"/>
          <w:szCs w:val="22"/>
          <w:u w:color="212121"/>
        </w:rPr>
      </w:pPr>
      <w:r>
        <w:rPr>
          <w:rFonts w:ascii="Helvetica" w:hAnsi="Helvetica"/>
          <w:color w:val="212121"/>
          <w:sz w:val="22"/>
          <w:szCs w:val="22"/>
          <w:u w:color="212121"/>
          <w:lang w:val="nl-NL"/>
        </w:rPr>
        <w:t xml:space="preserve">- </w:t>
      </w:r>
      <w:r w:rsidR="00473660">
        <w:rPr>
          <w:rFonts w:ascii="Helvetica" w:hAnsi="Helvetica"/>
          <w:color w:val="212121"/>
          <w:sz w:val="22"/>
          <w:szCs w:val="22"/>
          <w:u w:color="212121"/>
          <w:lang w:val="nl-NL"/>
        </w:rPr>
        <w:t xml:space="preserve">zwiększenie </w:t>
      </w:r>
      <w:r>
        <w:rPr>
          <w:rFonts w:ascii="Helvetica" w:hAnsi="Helvetica"/>
          <w:color w:val="212121"/>
          <w:sz w:val="22"/>
          <w:szCs w:val="22"/>
          <w:u w:color="212121"/>
          <w:lang w:val="nl-NL"/>
        </w:rPr>
        <w:t>bezpieczeństwa energetycznego i dostęp do tańszej energii. Np. ułatwienie procesu przyłączeń do sieci,</w:t>
      </w:r>
      <w:r w:rsidR="00A24994">
        <w:rPr>
          <w:rFonts w:ascii="Helvetica" w:hAnsi="Helvetica"/>
          <w:color w:val="212121"/>
          <w:sz w:val="22"/>
          <w:szCs w:val="22"/>
          <w:u w:color="212121"/>
          <w:lang w:val="nl-NL"/>
        </w:rPr>
        <w:br/>
      </w:r>
    </w:p>
    <w:p w14:paraId="5C1DD178" w14:textId="64AD84CD" w:rsidR="00A24994" w:rsidRDefault="00000000" w:rsidP="00A24994">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Helvetica" w:hAnsi="Helvetica"/>
          <w:color w:val="212121"/>
          <w:sz w:val="22"/>
          <w:szCs w:val="22"/>
          <w:u w:color="212121"/>
          <w:lang w:val="nl-NL"/>
        </w:rPr>
      </w:pPr>
      <w:r>
        <w:rPr>
          <w:rFonts w:ascii="Helvetica" w:hAnsi="Helvetica"/>
          <w:color w:val="212121"/>
          <w:sz w:val="22"/>
          <w:szCs w:val="22"/>
          <w:u w:color="212121"/>
          <w:lang w:val="nl-NL"/>
        </w:rPr>
        <w:t xml:space="preserve">- </w:t>
      </w:r>
      <w:r w:rsidR="00473660">
        <w:rPr>
          <w:rFonts w:ascii="Helvetica" w:hAnsi="Helvetica"/>
          <w:color w:val="212121"/>
          <w:sz w:val="22"/>
          <w:szCs w:val="22"/>
          <w:u w:color="212121"/>
          <w:lang w:val="nl-NL"/>
        </w:rPr>
        <w:t xml:space="preserve">deregulacja </w:t>
      </w:r>
      <w:r>
        <w:rPr>
          <w:rFonts w:ascii="Helvetica" w:hAnsi="Helvetica"/>
          <w:color w:val="212121"/>
          <w:sz w:val="22"/>
          <w:szCs w:val="22"/>
          <w:u w:color="212121"/>
          <w:lang w:val="nl-NL"/>
        </w:rPr>
        <w:t>wybranych przepisów unijnych. Np. AI Act – pogarsza polską konkurencyjność</w:t>
      </w:r>
      <w:r w:rsidR="00A24994">
        <w:rPr>
          <w:rFonts w:ascii="Helvetica" w:hAnsi="Helvetica"/>
          <w:color w:val="212121"/>
          <w:sz w:val="22"/>
          <w:szCs w:val="22"/>
          <w:u w:color="212121"/>
          <w:lang w:val="nl-NL"/>
        </w:rPr>
        <w:t>,</w:t>
      </w:r>
      <w:r>
        <w:rPr>
          <w:rFonts w:ascii="Helvetica" w:hAnsi="Helvetica"/>
          <w:color w:val="212121"/>
          <w:sz w:val="22"/>
          <w:szCs w:val="22"/>
          <w:u w:color="212121"/>
          <w:lang w:val="nl-NL"/>
        </w:rPr>
        <w:t xml:space="preserve"> </w:t>
      </w:r>
      <w:r w:rsidR="00A24994">
        <w:rPr>
          <w:rFonts w:ascii="Helvetica" w:hAnsi="Helvetica"/>
          <w:color w:val="212121"/>
          <w:sz w:val="22"/>
          <w:szCs w:val="22"/>
          <w:u w:color="212121"/>
          <w:lang w:val="nl-NL"/>
        </w:rPr>
        <w:br/>
      </w:r>
      <w:r w:rsidR="00A24994">
        <w:rPr>
          <w:rFonts w:ascii="Helvetica" w:hAnsi="Helvetica"/>
          <w:color w:val="212121"/>
          <w:sz w:val="22"/>
          <w:szCs w:val="22"/>
          <w:u w:color="212121"/>
          <w:lang w:val="nl-NL"/>
        </w:rPr>
        <w:br/>
      </w:r>
      <w:r>
        <w:rPr>
          <w:rFonts w:ascii="Helvetica" w:hAnsi="Helvetica"/>
          <w:color w:val="212121"/>
          <w:sz w:val="22"/>
          <w:szCs w:val="22"/>
          <w:u w:color="212121"/>
          <w:lang w:val="nl-NL"/>
        </w:rPr>
        <w:t xml:space="preserve">- </w:t>
      </w:r>
      <w:r w:rsidR="00A24994">
        <w:rPr>
          <w:rFonts w:ascii="Helvetica" w:hAnsi="Helvetica"/>
          <w:color w:val="212121"/>
          <w:sz w:val="22"/>
          <w:szCs w:val="22"/>
          <w:u w:color="212121"/>
          <w:lang w:val="nl-NL"/>
        </w:rPr>
        <w:t>o</w:t>
      </w:r>
      <w:r>
        <w:rPr>
          <w:rFonts w:ascii="Helvetica" w:hAnsi="Helvetica"/>
          <w:color w:val="212121"/>
          <w:sz w:val="22"/>
          <w:szCs w:val="22"/>
          <w:u w:color="212121"/>
          <w:lang w:val="nl-NL"/>
        </w:rPr>
        <w:t>gra</w:t>
      </w:r>
      <w:r w:rsidR="00A24994">
        <w:rPr>
          <w:rFonts w:ascii="Helvetica" w:hAnsi="Helvetica"/>
          <w:color w:val="212121"/>
          <w:sz w:val="22"/>
          <w:szCs w:val="22"/>
          <w:u w:color="212121"/>
          <w:lang w:val="nl-NL"/>
        </w:rPr>
        <w:t xml:space="preserve">niczenie </w:t>
      </w:r>
      <w:r>
        <w:rPr>
          <w:rFonts w:ascii="Helvetica" w:hAnsi="Helvetica"/>
          <w:color w:val="212121"/>
          <w:sz w:val="22"/>
          <w:szCs w:val="22"/>
          <w:u w:color="212121"/>
          <w:lang w:val="nl-NL"/>
        </w:rPr>
        <w:t>raportowani</w:t>
      </w:r>
      <w:r w:rsidR="00A24994">
        <w:rPr>
          <w:rFonts w:ascii="Helvetica" w:hAnsi="Helvetica"/>
          <w:color w:val="212121"/>
          <w:sz w:val="22"/>
          <w:szCs w:val="22"/>
          <w:u w:color="212121"/>
          <w:lang w:val="nl-NL"/>
        </w:rPr>
        <w:t>a</w:t>
      </w:r>
      <w:r>
        <w:rPr>
          <w:rFonts w:ascii="Helvetica" w:hAnsi="Helvetica"/>
          <w:color w:val="212121"/>
          <w:sz w:val="22"/>
          <w:szCs w:val="22"/>
          <w:u w:color="212121"/>
          <w:lang w:val="nl-NL"/>
        </w:rPr>
        <w:t xml:space="preserve"> ESG dla firm</w:t>
      </w:r>
      <w:r w:rsidR="00A24994">
        <w:rPr>
          <w:rFonts w:ascii="Helvetica" w:hAnsi="Helvetica"/>
          <w:color w:val="212121"/>
          <w:sz w:val="22"/>
          <w:szCs w:val="22"/>
          <w:u w:color="212121"/>
          <w:lang w:val="nl-NL"/>
        </w:rPr>
        <w:t>,</w:t>
      </w:r>
    </w:p>
    <w:p w14:paraId="7C98FDA9" w14:textId="185FCDAA" w:rsidR="00ED5F69" w:rsidRDefault="00A24994" w:rsidP="00A24994">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sz w:val="22"/>
          <w:szCs w:val="22"/>
          <w:lang w:val="nl-NL"/>
        </w:rPr>
      </w:pPr>
      <w:r>
        <w:rPr>
          <w:rFonts w:ascii="Helvetica" w:hAnsi="Helvetica"/>
          <w:color w:val="212121"/>
          <w:sz w:val="22"/>
          <w:szCs w:val="22"/>
          <w:u w:color="212121"/>
          <w:lang w:val="nl-NL"/>
        </w:rPr>
        <w:br/>
        <w:t>- o</w:t>
      </w:r>
      <w:r w:rsidR="00000000">
        <w:rPr>
          <w:rFonts w:ascii="Helvetica" w:hAnsi="Helvetica"/>
          <w:color w:val="212121"/>
          <w:sz w:val="22"/>
          <w:szCs w:val="22"/>
          <w:u w:color="212121"/>
          <w:lang w:val="nl-NL"/>
        </w:rPr>
        <w:t>bronność i bezpieczeństwo. Obecne procedury przetargowe wykluczają polskie firmy z wielu zamówień w sektorze obronności.</w:t>
      </w:r>
    </w:p>
    <w:p w14:paraId="14484212" w14:textId="77777777" w:rsidR="00ED5F69" w:rsidRDefault="00ED5F69">
      <w:pPr>
        <w:rPr>
          <w:rFonts w:ascii="Helvetica" w:eastAsia="Helvetica" w:hAnsi="Helvetica" w:cs="Helvetica"/>
          <w:color w:val="212121"/>
          <w:kern w:val="2"/>
          <w:sz w:val="22"/>
          <w:szCs w:val="22"/>
          <w:u w:color="212121"/>
          <w:lang w:val="nl-NL"/>
        </w:rPr>
      </w:pPr>
    </w:p>
    <w:p w14:paraId="331B61D0" w14:textId="4EBFD39E" w:rsidR="00ED5F69" w:rsidRDefault="00297D6E">
      <w:pPr>
        <w:rPr>
          <w:b/>
          <w:bCs/>
          <w:kern w:val="2"/>
          <w:sz w:val="24"/>
          <w:szCs w:val="24"/>
        </w:rPr>
      </w:pPr>
      <w:r>
        <w:rPr>
          <w:i/>
          <w:iCs/>
          <w:kern w:val="2"/>
          <w:sz w:val="24"/>
          <w:szCs w:val="24"/>
        </w:rPr>
        <w:t>O</w:t>
      </w:r>
      <w:r w:rsidR="00000000">
        <w:rPr>
          <w:i/>
          <w:iCs/>
          <w:kern w:val="2"/>
          <w:sz w:val="24"/>
          <w:szCs w:val="24"/>
        </w:rPr>
        <w:t>rganizacyjn</w:t>
      </w:r>
      <w:r>
        <w:rPr>
          <w:i/>
          <w:iCs/>
          <w:kern w:val="2"/>
          <w:sz w:val="24"/>
          <w:szCs w:val="24"/>
        </w:rPr>
        <w:t>a</w:t>
      </w:r>
      <w:r w:rsidR="00A24994">
        <w:rPr>
          <w:i/>
          <w:iCs/>
          <w:kern w:val="2"/>
          <w:sz w:val="24"/>
          <w:szCs w:val="24"/>
        </w:rPr>
        <w:t xml:space="preserve"> </w:t>
      </w:r>
      <w:r w:rsidR="00000000">
        <w:rPr>
          <w:i/>
          <w:iCs/>
          <w:kern w:val="2"/>
          <w:sz w:val="24"/>
          <w:szCs w:val="24"/>
        </w:rPr>
        <w:t>sprawnoś</w:t>
      </w:r>
      <w:r>
        <w:rPr>
          <w:i/>
          <w:iCs/>
          <w:kern w:val="2"/>
          <w:sz w:val="24"/>
          <w:szCs w:val="24"/>
        </w:rPr>
        <w:t>ć</w:t>
      </w:r>
      <w:r w:rsidR="00000000">
        <w:rPr>
          <w:i/>
          <w:iCs/>
          <w:kern w:val="2"/>
          <w:sz w:val="24"/>
          <w:szCs w:val="24"/>
        </w:rPr>
        <w:t xml:space="preserve"> R</w:t>
      </w:r>
      <w:r>
        <w:rPr>
          <w:i/>
          <w:iCs/>
          <w:kern w:val="2"/>
          <w:sz w:val="24"/>
          <w:szCs w:val="24"/>
        </w:rPr>
        <w:t>afała</w:t>
      </w:r>
      <w:r w:rsidR="00000000">
        <w:rPr>
          <w:i/>
          <w:iCs/>
          <w:kern w:val="2"/>
          <w:sz w:val="24"/>
          <w:szCs w:val="24"/>
        </w:rPr>
        <w:t xml:space="preserve"> Brzoski i jego zespołu, przy skutecznym, jak się wydaje, zastosowaniu techniki Project Management</w:t>
      </w:r>
      <w:r>
        <w:rPr>
          <w:i/>
          <w:iCs/>
          <w:kern w:val="2"/>
          <w:sz w:val="24"/>
          <w:szCs w:val="24"/>
        </w:rPr>
        <w:t xml:space="preserve"> dają</w:t>
      </w:r>
      <w:r w:rsidR="00000000">
        <w:rPr>
          <w:i/>
          <w:iCs/>
          <w:kern w:val="2"/>
          <w:sz w:val="24"/>
          <w:szCs w:val="24"/>
        </w:rPr>
        <w:t xml:space="preserve"> (wprawdzie niewielką na tym etapie) nadzieję, że będzie jakiś sukces. BCC planuje dużą aktywność w nadchodzących działaniach w tym obszarze. - podkreśla </w:t>
      </w:r>
      <w:r w:rsidR="00000000" w:rsidRPr="00A24994">
        <w:rPr>
          <w:kern w:val="2"/>
          <w:sz w:val="24"/>
          <w:szCs w:val="24"/>
        </w:rPr>
        <w:t xml:space="preserve">Witold </w:t>
      </w:r>
      <w:r w:rsidR="00000000">
        <w:rPr>
          <w:b/>
          <w:bCs/>
          <w:kern w:val="2"/>
          <w:sz w:val="24"/>
          <w:szCs w:val="24"/>
          <w:lang w:val="de-DE"/>
        </w:rPr>
        <w:t>Micha</w:t>
      </w:r>
      <w:proofErr w:type="spellStart"/>
      <w:r w:rsidR="00000000">
        <w:rPr>
          <w:b/>
          <w:bCs/>
          <w:kern w:val="2"/>
          <w:sz w:val="24"/>
          <w:szCs w:val="24"/>
        </w:rPr>
        <w:t>łek</w:t>
      </w:r>
      <w:proofErr w:type="spellEnd"/>
      <w:r w:rsidR="00000000">
        <w:rPr>
          <w:b/>
          <w:bCs/>
          <w:kern w:val="2"/>
          <w:sz w:val="24"/>
          <w:szCs w:val="24"/>
        </w:rPr>
        <w:t>, wiceprezes BCC, ekspert BCC ds. gospodarki, legislacji i lobbingu.</w:t>
      </w:r>
    </w:p>
    <w:p w14:paraId="3C844806" w14:textId="77777777" w:rsidR="00ED5F69" w:rsidRDefault="00ED5F69">
      <w:pPr>
        <w:rPr>
          <w:b/>
          <w:bCs/>
          <w:i/>
          <w:iCs/>
          <w:kern w:val="2"/>
          <w:sz w:val="24"/>
          <w:szCs w:val="24"/>
        </w:rPr>
      </w:pPr>
    </w:p>
    <w:p w14:paraId="39CBD164" w14:textId="77777777" w:rsidR="00ED5F69" w:rsidRDefault="00ED5F69">
      <w:pPr>
        <w:rPr>
          <w:rFonts w:ascii="Helvetica" w:eastAsia="Helvetica" w:hAnsi="Helvetica" w:cs="Helvetica"/>
          <w:color w:val="212121"/>
          <w:kern w:val="2"/>
          <w:sz w:val="22"/>
          <w:szCs w:val="22"/>
          <w:u w:color="212121"/>
          <w:lang w:val="nl-NL"/>
        </w:rPr>
      </w:pPr>
    </w:p>
    <w:p w14:paraId="5B2CC08B" w14:textId="77777777" w:rsidR="00ED5F69" w:rsidRDefault="00ED5F6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line="240" w:lineRule="auto"/>
        <w:rPr>
          <w:rFonts w:ascii="Arial" w:eastAsia="Arial" w:hAnsi="Arial" w:cs="Arial"/>
          <w:sz w:val="32"/>
          <w:szCs w:val="32"/>
        </w:rPr>
      </w:pPr>
    </w:p>
    <w:p w14:paraId="5EE37ED1" w14:textId="77777777" w:rsidR="00ED5F69" w:rsidRDefault="00000000">
      <w:pPr>
        <w:spacing w:line="253" w:lineRule="atLeast"/>
        <w:jc w:val="both"/>
        <w:rPr>
          <w:rFonts w:ascii="Arial" w:eastAsia="Arial" w:hAnsi="Arial" w:cs="Arial"/>
          <w:b/>
          <w:bCs/>
          <w:sz w:val="16"/>
          <w:szCs w:val="16"/>
          <w:u w:val="single"/>
        </w:rPr>
      </w:pPr>
      <w:r>
        <w:rPr>
          <w:rFonts w:ascii="Arial" w:hAnsi="Arial"/>
          <w:b/>
          <w:bCs/>
          <w:sz w:val="16"/>
          <w:szCs w:val="16"/>
          <w:u w:val="single"/>
        </w:rPr>
        <w:t xml:space="preserve">Kontakt dla </w:t>
      </w:r>
      <w:proofErr w:type="spellStart"/>
      <w:r>
        <w:rPr>
          <w:rFonts w:ascii="Arial" w:hAnsi="Arial"/>
          <w:b/>
          <w:bCs/>
          <w:sz w:val="16"/>
          <w:szCs w:val="16"/>
          <w:u w:val="single"/>
        </w:rPr>
        <w:t>medi</w:t>
      </w:r>
      <w:proofErr w:type="spellEnd"/>
      <w:r>
        <w:rPr>
          <w:rFonts w:ascii="Arial" w:hAnsi="Arial"/>
          <w:b/>
          <w:bCs/>
          <w:sz w:val="16"/>
          <w:szCs w:val="16"/>
          <w:u w:val="single"/>
          <w:lang w:val="es-ES_tradnl"/>
        </w:rPr>
        <w:t>ó</w:t>
      </w:r>
      <w:r>
        <w:rPr>
          <w:rFonts w:ascii="Arial" w:hAnsi="Arial"/>
          <w:b/>
          <w:bCs/>
          <w:sz w:val="16"/>
          <w:szCs w:val="16"/>
          <w:u w:val="single"/>
        </w:rPr>
        <w:t>w:</w:t>
      </w:r>
    </w:p>
    <w:p w14:paraId="58850E76" w14:textId="77777777" w:rsidR="00ED5F69" w:rsidRDefault="00ED5F69">
      <w:pPr>
        <w:spacing w:line="253" w:lineRule="atLeast"/>
        <w:jc w:val="both"/>
      </w:pPr>
    </w:p>
    <w:p w14:paraId="0388AC59" w14:textId="77777777" w:rsidR="00ED5F69" w:rsidRDefault="00000000">
      <w:pPr>
        <w:spacing w:line="360" w:lineRule="auto"/>
        <w:rPr>
          <w:rStyle w:val="Brak"/>
          <w:rFonts w:ascii="Arial" w:eastAsia="Arial" w:hAnsi="Arial" w:cs="Arial"/>
          <w:sz w:val="16"/>
          <w:szCs w:val="16"/>
        </w:rPr>
      </w:pPr>
      <w:r>
        <w:rPr>
          <w:rFonts w:ascii="Arial" w:hAnsi="Arial"/>
          <w:sz w:val="16"/>
          <w:szCs w:val="16"/>
        </w:rPr>
        <w:t xml:space="preserve">Agencja Open Minded Group: </w:t>
      </w:r>
      <w:hyperlink r:id="rId8" w:history="1">
        <w:r w:rsidR="00ED5F69">
          <w:rPr>
            <w:rStyle w:val="Hyperlink0"/>
          </w:rPr>
          <w:t>pr@openmindedgroup.pl</w:t>
        </w:r>
      </w:hyperlink>
    </w:p>
    <w:p w14:paraId="2D487FE4" w14:textId="6EE01FE5" w:rsidR="00ED5F69" w:rsidRDefault="00A24994">
      <w:pPr>
        <w:spacing w:after="200" w:line="360" w:lineRule="auto"/>
        <w:rPr>
          <w:rStyle w:val="Brak"/>
          <w:rFonts w:ascii="Arial" w:eastAsia="Arial" w:hAnsi="Arial" w:cs="Arial"/>
        </w:rPr>
      </w:pPr>
      <w:r>
        <w:rPr>
          <w:rStyle w:val="Brak"/>
          <w:rFonts w:ascii="Arial" w:hAnsi="Arial"/>
          <w:sz w:val="16"/>
          <w:szCs w:val="16"/>
        </w:rPr>
        <w:t>BCC</w:t>
      </w:r>
      <w:r w:rsidR="00000000">
        <w:rPr>
          <w:rStyle w:val="Brak"/>
          <w:rFonts w:ascii="Arial" w:hAnsi="Arial"/>
          <w:sz w:val="16"/>
          <w:szCs w:val="16"/>
        </w:rPr>
        <w:t xml:space="preserve">: </w:t>
      </w:r>
      <w:hyperlink r:id="rId9" w:history="1">
        <w:r w:rsidR="00297D6E">
          <w:rPr>
            <w:rStyle w:val="Hipercze"/>
            <w:sz w:val="16"/>
            <w:szCs w:val="16"/>
          </w:rPr>
          <w:t>ewelina.rozpara@bcc.pl</w:t>
        </w:r>
      </w:hyperlink>
      <w:r w:rsidR="00000000">
        <w:rPr>
          <w:rStyle w:val="Brak"/>
          <w:rFonts w:ascii="Arial" w:eastAsia="Arial" w:hAnsi="Arial" w:cs="Arial"/>
          <w:noProof/>
        </w:rPr>
        <w:drawing>
          <wp:anchor distT="57150" distB="57150" distL="57150" distR="57150" simplePos="0" relativeHeight="251659264" behindDoc="0" locked="0" layoutInCell="1" allowOverlap="1" wp14:anchorId="56D7AB76" wp14:editId="2AD9A995">
            <wp:simplePos x="0" y="0"/>
            <wp:positionH relativeFrom="page">
              <wp:posOffset>770979</wp:posOffset>
            </wp:positionH>
            <wp:positionV relativeFrom="line">
              <wp:posOffset>365597</wp:posOffset>
            </wp:positionV>
            <wp:extent cx="793025" cy="793025"/>
            <wp:effectExtent l="0" t="0" r="0" b="0"/>
            <wp:wrapSquare wrapText="bothSides" distT="57150" distB="57150" distL="57150" distR="57150"/>
            <wp:docPr id="1073741826" name="officeArt object" descr="Obraz zawierający wzór, kwadrat, Symetria, Prostokąt&#10;&#10;Opis wygenerowany automatycznie"/>
            <wp:cNvGraphicFramePr/>
            <a:graphic xmlns:a="http://schemas.openxmlformats.org/drawingml/2006/main">
              <a:graphicData uri="http://schemas.openxmlformats.org/drawingml/2006/picture">
                <pic:pic xmlns:pic="http://schemas.openxmlformats.org/drawingml/2006/picture">
                  <pic:nvPicPr>
                    <pic:cNvPr id="1073741826" name="Obraz zawierający wzór, kwadrat, Symetria, ProstokątOpis wygenerowany automatycznie" descr="Obraz zawierający wzór, kwadrat, Symetria, ProstokątOpis wygenerowany automatycznie"/>
                    <pic:cNvPicPr>
                      <a:picLocks noChangeAspect="1"/>
                    </pic:cNvPicPr>
                  </pic:nvPicPr>
                  <pic:blipFill>
                    <a:blip r:embed="rId10"/>
                    <a:stretch>
                      <a:fillRect/>
                    </a:stretch>
                  </pic:blipFill>
                  <pic:spPr>
                    <a:xfrm>
                      <a:off x="0" y="0"/>
                      <a:ext cx="793025" cy="793025"/>
                    </a:xfrm>
                    <a:prstGeom prst="rect">
                      <a:avLst/>
                    </a:prstGeom>
                    <a:ln w="12700" cap="flat">
                      <a:noFill/>
                      <a:miter lim="400000"/>
                    </a:ln>
                    <a:effectLst/>
                  </pic:spPr>
                </pic:pic>
              </a:graphicData>
            </a:graphic>
          </wp:anchor>
        </w:drawing>
      </w:r>
    </w:p>
    <w:p w14:paraId="515F1216" w14:textId="77777777" w:rsidR="00ED5F69" w:rsidRDefault="00ED5F69">
      <w:pPr>
        <w:pBdr>
          <w:top w:val="single" w:sz="4" w:space="0" w:color="000000"/>
        </w:pBdr>
        <w:spacing w:line="360" w:lineRule="auto"/>
        <w:rPr>
          <w:rStyle w:val="Brak"/>
          <w:rFonts w:ascii="Arial" w:eastAsia="Arial" w:hAnsi="Arial" w:cs="Arial"/>
          <w:sz w:val="16"/>
          <w:szCs w:val="16"/>
        </w:rPr>
      </w:pPr>
    </w:p>
    <w:p w14:paraId="4745C20A" w14:textId="77777777" w:rsidR="00ED5F69" w:rsidRDefault="00000000">
      <w:pPr>
        <w:rPr>
          <w:rStyle w:val="Brak"/>
          <w:rFonts w:ascii="Arial" w:eastAsia="Arial" w:hAnsi="Arial" w:cs="Arial"/>
          <w:sz w:val="14"/>
          <w:szCs w:val="14"/>
        </w:rPr>
      </w:pPr>
      <w:r>
        <w:rPr>
          <w:rStyle w:val="Brak"/>
          <w:rFonts w:ascii="Arial" w:hAnsi="Arial"/>
          <w:sz w:val="16"/>
          <w:szCs w:val="16"/>
        </w:rPr>
        <w:t>B</w:t>
      </w:r>
      <w:r>
        <w:rPr>
          <w:rStyle w:val="Brak"/>
          <w:rFonts w:ascii="Arial" w:hAnsi="Arial"/>
          <w:sz w:val="14"/>
          <w:szCs w:val="14"/>
        </w:rPr>
        <w:t xml:space="preserve">usiness Centre Club to największa w kraju ustawowa organizacja indywidualnych </w:t>
      </w:r>
      <w:proofErr w:type="spellStart"/>
      <w:r>
        <w:rPr>
          <w:rStyle w:val="Brak"/>
          <w:rFonts w:ascii="Arial" w:hAnsi="Arial"/>
          <w:sz w:val="14"/>
          <w:szCs w:val="14"/>
        </w:rPr>
        <w:t>pracodawc</w:t>
      </w:r>
      <w:proofErr w:type="spellEnd"/>
      <w:r>
        <w:rPr>
          <w:rStyle w:val="Brak"/>
          <w:rFonts w:ascii="Arial" w:hAnsi="Arial"/>
          <w:sz w:val="14"/>
          <w:szCs w:val="14"/>
          <w:lang w:val="es-ES_tradnl"/>
        </w:rPr>
        <w:t>ó</w:t>
      </w:r>
      <w:r>
        <w:rPr>
          <w:rStyle w:val="Brak"/>
          <w:rFonts w:ascii="Arial" w:hAnsi="Arial"/>
          <w:sz w:val="14"/>
          <w:szCs w:val="14"/>
        </w:rPr>
        <w:t>w. Członkowie Klubu zatrudniają ponad 400 tys. pracownik</w:t>
      </w:r>
      <w:r>
        <w:rPr>
          <w:rStyle w:val="Brak"/>
          <w:rFonts w:ascii="Arial" w:hAnsi="Arial"/>
          <w:sz w:val="14"/>
          <w:szCs w:val="14"/>
          <w:lang w:val="es-ES_tradnl"/>
        </w:rPr>
        <w:t>ó</w:t>
      </w:r>
      <w:r>
        <w:rPr>
          <w:rStyle w:val="Brak"/>
          <w:rFonts w:ascii="Arial" w:hAnsi="Arial"/>
          <w:sz w:val="14"/>
          <w:szCs w:val="14"/>
        </w:rPr>
        <w:t>w, przychody firm to ponad 200 miliard</w:t>
      </w:r>
      <w:r>
        <w:rPr>
          <w:rStyle w:val="Brak"/>
          <w:rFonts w:ascii="Arial" w:hAnsi="Arial"/>
          <w:sz w:val="14"/>
          <w:szCs w:val="14"/>
          <w:lang w:val="es-ES_tradnl"/>
        </w:rPr>
        <w:t>ó</w:t>
      </w:r>
      <w:r>
        <w:rPr>
          <w:rStyle w:val="Brak"/>
          <w:rFonts w:ascii="Arial" w:hAnsi="Arial"/>
          <w:sz w:val="14"/>
          <w:szCs w:val="14"/>
        </w:rPr>
        <w:t xml:space="preserve">w złotych, a siedziby rozlokowane są w 250 miastach. Na terenie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BCC – klubu </w:t>
      </w:r>
      <w:proofErr w:type="spellStart"/>
      <w:r>
        <w:rPr>
          <w:rStyle w:val="Brak"/>
          <w:rFonts w:ascii="Arial" w:hAnsi="Arial"/>
          <w:sz w:val="14"/>
          <w:szCs w:val="14"/>
        </w:rPr>
        <w:t>przedsiębiorc</w:t>
      </w:r>
      <w:proofErr w:type="spellEnd"/>
      <w:r>
        <w:rPr>
          <w:rStyle w:val="Brak"/>
          <w:rFonts w:ascii="Arial" w:hAnsi="Arial"/>
          <w:sz w:val="14"/>
          <w:szCs w:val="14"/>
          <w:lang w:val="es-ES_tradnl"/>
        </w:rPr>
        <w:t>ó</w:t>
      </w:r>
      <w:r>
        <w:rPr>
          <w:rStyle w:val="Brak"/>
          <w:rFonts w:ascii="Arial" w:hAnsi="Arial"/>
          <w:sz w:val="14"/>
          <w:szCs w:val="14"/>
        </w:rPr>
        <w:t xml:space="preserve">w są także prawnicy, dziennikarze, naukowcy, wydawcy, lekarze, wojskowi i studenci. </w:t>
      </w:r>
    </w:p>
    <w:p w14:paraId="5A31D0A0" w14:textId="77777777" w:rsidR="00ED5F69" w:rsidRDefault="00ED5F69">
      <w:pPr>
        <w:spacing w:line="360" w:lineRule="auto"/>
        <w:rPr>
          <w:rStyle w:val="Brak"/>
          <w:rFonts w:ascii="Arial" w:eastAsia="Arial" w:hAnsi="Arial" w:cs="Arial"/>
          <w:sz w:val="14"/>
          <w:szCs w:val="14"/>
        </w:rPr>
      </w:pPr>
    </w:p>
    <w:p w14:paraId="441D5F8B" w14:textId="77777777" w:rsidR="00ED5F69" w:rsidRDefault="00000000">
      <w:pPr>
        <w:spacing w:line="360" w:lineRule="auto"/>
      </w:pPr>
      <w:r>
        <w:rPr>
          <w:rStyle w:val="Brak"/>
          <w:rFonts w:ascii="Arial" w:hAnsi="Arial"/>
          <w:sz w:val="14"/>
          <w:szCs w:val="14"/>
        </w:rPr>
        <w:t xml:space="preserve">Business Centre Club w mediach społecznościowych: </w:t>
      </w:r>
      <w:hyperlink r:id="rId11" w:history="1">
        <w:r w:rsidR="00ED5F69">
          <w:rPr>
            <w:rStyle w:val="Hyperlink2"/>
          </w:rPr>
          <w:t>LinkedIn &gt;</w:t>
        </w:r>
      </w:hyperlink>
      <w:r>
        <w:rPr>
          <w:rStyle w:val="Brak"/>
          <w:rFonts w:ascii="Arial" w:hAnsi="Arial"/>
          <w:sz w:val="14"/>
          <w:szCs w:val="14"/>
        </w:rPr>
        <w:t xml:space="preserve"> </w:t>
      </w:r>
      <w:hyperlink r:id="rId12" w:history="1">
        <w:r w:rsidR="00ED5F69">
          <w:rPr>
            <w:rStyle w:val="Hyperlink2"/>
          </w:rPr>
          <w:t>Facebook &gt;</w:t>
        </w:r>
      </w:hyperlink>
      <w:r>
        <w:rPr>
          <w:rStyle w:val="Brak"/>
          <w:rFonts w:ascii="Arial" w:hAnsi="Arial"/>
          <w:sz w:val="14"/>
          <w:szCs w:val="14"/>
        </w:rPr>
        <w:t xml:space="preserve"> </w:t>
      </w:r>
      <w:hyperlink r:id="rId13" w:history="1">
        <w:r w:rsidR="00ED5F69">
          <w:rPr>
            <w:rStyle w:val="Hyperlink3"/>
          </w:rPr>
          <w:t>Twitter &gt;</w:t>
        </w:r>
      </w:hyperlink>
    </w:p>
    <w:sectPr w:rsidR="00ED5F69">
      <w:headerReference w:type="default" r:id="rId14"/>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48A18" w14:textId="77777777" w:rsidR="00476779" w:rsidRDefault="00476779">
      <w:r>
        <w:separator/>
      </w:r>
    </w:p>
  </w:endnote>
  <w:endnote w:type="continuationSeparator" w:id="0">
    <w:p w14:paraId="7712FEA7" w14:textId="77777777" w:rsidR="00476779" w:rsidRDefault="0047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9C4C" w14:textId="77777777" w:rsidR="00ED5F69" w:rsidRDefault="00ED5F69">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622E" w14:textId="77777777" w:rsidR="00476779" w:rsidRDefault="00476779">
      <w:r>
        <w:separator/>
      </w:r>
    </w:p>
  </w:footnote>
  <w:footnote w:type="continuationSeparator" w:id="0">
    <w:p w14:paraId="0B108D9D" w14:textId="77777777" w:rsidR="00476779" w:rsidRDefault="0047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E0FF" w14:textId="77777777" w:rsidR="00ED5F69" w:rsidRDefault="00ED5F69">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A7D94"/>
    <w:multiLevelType w:val="hybridMultilevel"/>
    <w:tmpl w:val="E0F84C48"/>
    <w:styleLink w:val="Punktory"/>
    <w:lvl w:ilvl="0" w:tplc="E4B0E9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308196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7F4E75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6AA84DE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04A22C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A8986A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B36A95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E3A6F1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AE6212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AB4F73"/>
    <w:multiLevelType w:val="hybridMultilevel"/>
    <w:tmpl w:val="E0F84C48"/>
    <w:numStyleLink w:val="Punktory"/>
  </w:abstractNum>
  <w:num w:numId="1" w16cid:durableId="576062496">
    <w:abstractNumId w:val="0"/>
  </w:num>
  <w:num w:numId="2" w16cid:durableId="106961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69"/>
    <w:rsid w:val="00297D6E"/>
    <w:rsid w:val="00473660"/>
    <w:rsid w:val="00476779"/>
    <w:rsid w:val="00A24994"/>
    <w:rsid w:val="00A56C6B"/>
    <w:rsid w:val="00D03053"/>
    <w:rsid w:val="00ED5F69"/>
    <w:rsid w:val="00F656EC"/>
    <w:rsid w:val="00FB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0359"/>
  <w15:docId w15:val="{FCC9D1A1-EFF4-4131-8E9A-CF117C9D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hAnsi="Calibri" w:cs="Arial Unicode MS"/>
      <w:color w:val="000000"/>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BrakA">
    <w:name w:val="Brak A"/>
  </w:style>
  <w:style w:type="paragraph" w:customStyle="1" w:styleId="DomylneA">
    <w:name w:val="Domyślne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Punktory">
    <w:name w:val="Punktory"/>
    <w:pPr>
      <w:numPr>
        <w:numId w:val="1"/>
      </w:numPr>
    </w:pPr>
  </w:style>
  <w:style w:type="character" w:customStyle="1" w:styleId="Brak">
    <w:name w:val="Brak"/>
  </w:style>
  <w:style w:type="character" w:customStyle="1" w:styleId="Hyperlink0">
    <w:name w:val="Hyperlink.0"/>
    <w:basedOn w:val="Brak"/>
    <w:rPr>
      <w:rFonts w:ascii="Arial" w:eastAsia="Arial" w:hAnsi="Arial" w:cs="Arial"/>
      <w:outline w:val="0"/>
      <w:color w:val="0000FF"/>
      <w:sz w:val="16"/>
      <w:szCs w:val="16"/>
      <w:u w:val="single" w:color="0000FF"/>
      <w:lang w:val="de-DE"/>
    </w:rPr>
  </w:style>
  <w:style w:type="character" w:customStyle="1" w:styleId="Hyperlink1">
    <w:name w:val="Hyperlink.1"/>
    <w:basedOn w:val="Brak"/>
    <w:rPr>
      <w:outline w:val="0"/>
      <w:color w:val="0000FF"/>
      <w:sz w:val="16"/>
      <w:szCs w:val="16"/>
      <w:u w:val="single" w:color="0000FF"/>
    </w:rPr>
  </w:style>
  <w:style w:type="character" w:customStyle="1" w:styleId="Hyperlink2">
    <w:name w:val="Hyperlink.2"/>
    <w:basedOn w:val="Brak"/>
    <w:rPr>
      <w:rFonts w:ascii="Arial" w:eastAsia="Arial" w:hAnsi="Arial" w:cs="Arial"/>
      <w:outline w:val="0"/>
      <w:color w:val="0000FF"/>
      <w:sz w:val="14"/>
      <w:szCs w:val="14"/>
      <w:u w:val="single" w:color="0000FF"/>
      <w:lang w:val="nl-NL"/>
    </w:rPr>
  </w:style>
  <w:style w:type="character" w:customStyle="1" w:styleId="Hyperlink3">
    <w:name w:val="Hyperlink.3"/>
    <w:basedOn w:val="Brak"/>
    <w:rPr>
      <w:rFonts w:ascii="Arial" w:eastAsia="Arial" w:hAnsi="Arial" w:cs="Arial"/>
      <w:outline w:val="0"/>
      <w:color w:val="0000FF"/>
      <w:sz w:val="14"/>
      <w:szCs w:val="14"/>
      <w:u w:val="single" w:color="0000FF"/>
      <w:lang w:val="en-US"/>
    </w:rPr>
  </w:style>
  <w:style w:type="paragraph" w:styleId="Poprawka">
    <w:name w:val="Revision"/>
    <w:hidden/>
    <w:uiPriority w:val="99"/>
    <w:semiHidden/>
    <w:rsid w:val="004736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29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penmindedgroup.pl" TargetMode="External"/><Relationship Id="rId13" Type="http://schemas.openxmlformats.org/officeDocument/2006/relationships/hyperlink" Target="http://www.twitter.com/BC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businesscentreclu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business-centre-clu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welina.rozpara@bcc.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Rybińska–Fliszkiewicz Joanna</dc:creator>
  <cp:lastModifiedBy>Rybińska–Fliszkiewicz Joanna</cp:lastModifiedBy>
  <cp:revision>2</cp:revision>
  <dcterms:created xsi:type="dcterms:W3CDTF">2025-03-24T14:29:00Z</dcterms:created>
  <dcterms:modified xsi:type="dcterms:W3CDTF">2025-03-24T14:29:00Z</dcterms:modified>
</cp:coreProperties>
</file>