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5B83" w14:textId="77777777" w:rsidR="00A511FC" w:rsidRDefault="00A511FC">
      <w:pPr>
        <w:jc w:val="center"/>
        <w:rPr>
          <w:rFonts w:ascii="Arial" w:hAnsi="Arial"/>
          <w:sz w:val="22"/>
          <w:szCs w:val="22"/>
        </w:rPr>
      </w:pPr>
    </w:p>
    <w:p w14:paraId="2CEE62DE" w14:textId="77777777" w:rsidR="00A511FC" w:rsidRDefault="00A511FC">
      <w:pPr>
        <w:jc w:val="both"/>
        <w:rPr>
          <w:rStyle w:val="BrakA"/>
        </w:rPr>
      </w:pPr>
    </w:p>
    <w:p w14:paraId="5053B3EB" w14:textId="77777777" w:rsidR="00A511FC" w:rsidRDefault="00000000">
      <w:pPr>
        <w:ind w:left="6372"/>
        <w:jc w:val="both"/>
        <w:rPr>
          <w:rStyle w:val="BrakA"/>
        </w:rPr>
      </w:pPr>
      <w:r>
        <w:rPr>
          <w:rFonts w:ascii="Arial" w:hAnsi="Arial"/>
        </w:rPr>
        <w:t xml:space="preserve">Warszawa </w:t>
      </w:r>
      <w:r>
        <w:rPr>
          <w:rFonts w:ascii="Arial" w:hAnsi="Arial"/>
          <w:lang w:val="en-US"/>
        </w:rPr>
        <w:t xml:space="preserve">04.02.2025 </w:t>
      </w:r>
      <w:r>
        <w:rPr>
          <w:rStyle w:val="BrakA"/>
        </w:rPr>
        <w:t xml:space="preserve">r. </w:t>
      </w:r>
    </w:p>
    <w:p w14:paraId="362A0CF9" w14:textId="77777777" w:rsidR="00A511FC" w:rsidRDefault="00A511FC">
      <w:pPr>
        <w:ind w:left="6372"/>
        <w:jc w:val="both"/>
        <w:rPr>
          <w:rFonts w:ascii="Arial" w:eastAsia="Arial" w:hAnsi="Arial" w:cs="Arial"/>
          <w:sz w:val="24"/>
          <w:szCs w:val="24"/>
        </w:rPr>
      </w:pPr>
    </w:p>
    <w:p w14:paraId="064074B1" w14:textId="77777777" w:rsidR="00A511FC" w:rsidRDefault="00A511FC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71C961AC" w14:textId="77777777" w:rsidR="00A511FC" w:rsidRDefault="00000000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B918F8C" wp14:editId="7A3CE631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B4E63D" w14:textId="77777777" w:rsidR="00A511FC" w:rsidRDefault="00A511FC">
      <w:pPr>
        <w:spacing w:line="264" w:lineRule="auto"/>
        <w:jc w:val="center"/>
        <w:rPr>
          <w:rFonts w:ascii="Arial Black" w:eastAsia="Arial Black" w:hAnsi="Arial Black" w:cs="Arial Black"/>
          <w:caps/>
          <w:color w:val="AF2F32"/>
          <w:sz w:val="26"/>
          <w:szCs w:val="26"/>
          <w:u w:color="AF2F32"/>
        </w:rPr>
      </w:pPr>
    </w:p>
    <w:p w14:paraId="17F19B96" w14:textId="77777777" w:rsidR="00A511FC" w:rsidRDefault="00000000">
      <w:pPr>
        <w:jc w:val="center"/>
        <w:rPr>
          <w:rFonts w:ascii="Arial" w:eastAsia="Arial" w:hAnsi="Arial" w:cs="Arial"/>
          <w:b/>
          <w:bCs/>
          <w:caps/>
          <w:color w:val="B02F34"/>
          <w:sz w:val="24"/>
          <w:szCs w:val="24"/>
          <w:u w:color="B02F34"/>
        </w:rPr>
      </w:pPr>
      <w:r>
        <w:rPr>
          <w:rFonts w:ascii="Arial Black" w:hAnsi="Arial Black"/>
          <w:caps/>
          <w:color w:val="AF2F32"/>
          <w:sz w:val="28"/>
          <w:szCs w:val="28"/>
          <w:u w:color="AF2F32"/>
        </w:rPr>
        <w:t>DOKĄD ZAPROWADZI NAS UNIJNY KOMPAS?</w:t>
      </w:r>
    </w:p>
    <w:p w14:paraId="2AEA92C6" w14:textId="77777777" w:rsidR="00A511FC" w:rsidRDefault="00A511FC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200" w:line="264" w:lineRule="auto"/>
        <w:jc w:val="both"/>
        <w:rPr>
          <w:rFonts w:ascii="Arial" w:eastAsia="Arial" w:hAnsi="Arial" w:cs="Arial"/>
        </w:rPr>
      </w:pPr>
    </w:p>
    <w:p w14:paraId="040D8223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8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Komisja Europejska przedstawiła Kompas konkurencyjności, określający strategiczne ramy kierowania pracami, których celem jest odzyskania konkurencyjności i zapewnienia trwałego dobrobytu. </w:t>
      </w:r>
    </w:p>
    <w:p w14:paraId="154621C7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80" w:line="240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„Kompas wyznacza Europie drogę do tego, by stała się miejscem, w </w:t>
      </w:r>
      <w:proofErr w:type="spellStart"/>
      <w:r>
        <w:rPr>
          <w:rFonts w:ascii="Arial" w:hAnsi="Arial"/>
          <w:i/>
          <w:iCs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rym wynajduje się                 i tworzy przyszłe technologie, usługi i czyste produkty, a jednocześnie pierwszym kontynentem neutralnym dla klimatu. W ciągu ostatnich dwudziestu lat Europa nie nadążała za innymi dużymi gospodarkami ze względu na utrzymującą się lukę we wzroście wydajności. UE ma to, co jest potrzebne, aby </w:t>
      </w:r>
      <w:proofErr w:type="spellStart"/>
      <w:r>
        <w:rPr>
          <w:rFonts w:ascii="Arial" w:hAnsi="Arial"/>
          <w:i/>
          <w:iCs/>
          <w:sz w:val="22"/>
          <w:szCs w:val="22"/>
        </w:rPr>
        <w:t>odwr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cić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tę tendencję (…)” - czytamy w komunikacie Komisji Europejskiej.</w:t>
      </w:r>
    </w:p>
    <w:p w14:paraId="3E8A9773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80" w:line="240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Dokument ten wyznacza założenia, </w:t>
      </w:r>
      <w:proofErr w:type="spellStart"/>
      <w:r>
        <w:rPr>
          <w:rFonts w:ascii="Arial" w:hAnsi="Arial"/>
          <w:i/>
          <w:iCs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rych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zrealizowanie pozwoli by UE stała się miejscem, w </w:t>
      </w:r>
      <w:proofErr w:type="spellStart"/>
      <w:r>
        <w:rPr>
          <w:rFonts w:ascii="Arial" w:hAnsi="Arial"/>
          <w:i/>
          <w:iCs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rym tworzy się przyszłe technologie, usługi i czyste produkty, a jednocześnie pierwszym kontynentem neutralnym dla klimatu. Są to bardzo ambitne plany, zważywszy na obecny status Unii w globalnej rozgrywce. - </w:t>
      </w:r>
      <w:r>
        <w:rPr>
          <w:rFonts w:ascii="Arial" w:hAnsi="Arial"/>
          <w:sz w:val="22"/>
          <w:szCs w:val="22"/>
        </w:rPr>
        <w:t xml:space="preserve">mówi </w:t>
      </w:r>
      <w:r>
        <w:rPr>
          <w:rFonts w:ascii="Arial" w:hAnsi="Arial"/>
          <w:b/>
          <w:bCs/>
          <w:sz w:val="22"/>
          <w:szCs w:val="22"/>
        </w:rPr>
        <w:t>Łukasz Bernatowicz, prezes ZP BCC.</w:t>
      </w:r>
    </w:p>
    <w:p w14:paraId="65E0ED8B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Główne obszary działań wskazane w Kompasie to eliminowanie luki innowacyjnej, </w:t>
      </w:r>
      <w:proofErr w:type="spellStart"/>
      <w:r>
        <w:rPr>
          <w:rFonts w:ascii="Arial" w:hAnsi="Arial"/>
          <w:sz w:val="22"/>
          <w:szCs w:val="22"/>
        </w:rPr>
        <w:t>wsp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 plan działania na rzecz dekarbonizacji i konkurencyjności oraz zmniejszenie nadmiernych zależności i zwiększenie bezpieczeństwa.</w:t>
      </w:r>
    </w:p>
    <w:p w14:paraId="0105D460" w14:textId="77777777" w:rsidR="00A511FC" w:rsidRDefault="00A511F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57B12969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428E8660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Jednocześnie Komisja wskazała istotne działania,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re pozwolą osiągną </w:t>
      </w:r>
      <w:proofErr w:type="spellStart"/>
      <w:r>
        <w:rPr>
          <w:rFonts w:ascii="Arial" w:hAnsi="Arial"/>
          <w:sz w:val="22"/>
          <w:szCs w:val="22"/>
        </w:rPr>
        <w:t>założ</w:t>
      </w:r>
      <w:proofErr w:type="spellEnd"/>
      <w:r>
        <w:rPr>
          <w:rFonts w:ascii="Arial" w:hAnsi="Arial"/>
          <w:sz w:val="22"/>
          <w:szCs w:val="22"/>
          <w:lang w:val="it-IT"/>
        </w:rPr>
        <w:t>one cele:</w:t>
      </w:r>
    </w:p>
    <w:p w14:paraId="70C5DF06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7209D453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Uproszczenie: czynnik ten ma na celu radykalne zmniejszenie obciążeń regulacyjnych i administracyjnych.</w:t>
      </w:r>
    </w:p>
    <w:p w14:paraId="7E236AC3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2FC3A95C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Zmniejszanie barier na jednolitym rynku: modernizacja ram zarządzania, poprzez usunięcie barier wewnątrzunijnych i zapobieganie tworzeniu nowych.</w:t>
      </w:r>
    </w:p>
    <w:p w14:paraId="00450545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72E7C92F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Finansowanie konkurencyjności: KE przedstawi europejską unię oszczędności i inwestycji służącą stworzeniu nowych produkt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oszczędnościowych i inwestycyjnych, zachęt do tworzenia kapitału wysokiego ryzyka oraz zapewnieniu płynnego przepływu inwestycji w całej UE.</w:t>
      </w:r>
    </w:p>
    <w:p w14:paraId="411DF4DB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35474343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Promowanie umiejętności i wysokiej jakości miejsc pracy: inicjatywa mająca na celu stworzenie unii umiejętności skupiającą się na inwestycjach, uczeniu się </w:t>
      </w:r>
      <w:r>
        <w:rPr>
          <w:rFonts w:ascii="Arial" w:hAnsi="Arial"/>
          <w:sz w:val="22"/>
          <w:szCs w:val="22"/>
          <w:lang w:val="it-IT"/>
        </w:rPr>
        <w:t>doros</w:t>
      </w:r>
      <w:r>
        <w:rPr>
          <w:rFonts w:ascii="Arial" w:hAnsi="Arial"/>
          <w:sz w:val="22"/>
          <w:szCs w:val="22"/>
        </w:rPr>
        <w:t>łych i kształceniu się przez całe życie, tworzeniu umiejętności dostosowanych do przyszłych wyzwań.</w:t>
      </w:r>
    </w:p>
    <w:p w14:paraId="09EC22AE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42FB2FAC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5. Lepsza koordynacja polityk na szczeblu unijnym i krajowym: narzędzie koordynacji konkurencyjności w celu określenia projekt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transgranicznych leżących w interesie Europy oraz realizacji powiązanych reform i inwestycji.</w:t>
      </w:r>
    </w:p>
    <w:p w14:paraId="3960B7BF" w14:textId="77777777" w:rsidR="00A511FC" w:rsidRDefault="00A511FC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ind w:left="720" w:hanging="720"/>
        <w:rPr>
          <w:rFonts w:ascii="Arial" w:eastAsia="Arial" w:hAnsi="Arial" w:cs="Arial"/>
          <w:sz w:val="22"/>
          <w:szCs w:val="22"/>
        </w:rPr>
      </w:pPr>
    </w:p>
    <w:p w14:paraId="4E75E132" w14:textId="77777777" w:rsidR="00A511F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8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Europa ma wszystko, czego potrzebuje, aby odnieść sukces w wyścigu na szczyt. Jednocześnie musimy jednak stawić czoła naszym </w:t>
      </w:r>
      <w:proofErr w:type="spellStart"/>
      <w:r>
        <w:rPr>
          <w:rFonts w:ascii="Arial" w:hAnsi="Arial"/>
          <w:i/>
          <w:iCs/>
          <w:sz w:val="22"/>
          <w:szCs w:val="22"/>
        </w:rPr>
        <w:t>sł</w:t>
      </w:r>
      <w:proofErr w:type="spellEnd"/>
      <w:r>
        <w:rPr>
          <w:rFonts w:ascii="Arial" w:hAnsi="Arial"/>
          <w:i/>
          <w:iCs/>
          <w:sz w:val="22"/>
          <w:szCs w:val="22"/>
          <w:lang w:val="en-US"/>
        </w:rPr>
        <w:t>abo</w:t>
      </w:r>
      <w:proofErr w:type="spellStart"/>
      <w:r>
        <w:rPr>
          <w:rFonts w:ascii="Arial" w:hAnsi="Arial"/>
          <w:i/>
          <w:iCs/>
          <w:sz w:val="22"/>
          <w:szCs w:val="22"/>
        </w:rPr>
        <w:t>ściom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aby odzyskać konkurencyjność. Kompas konkurencyjności przekształca doskonałe zalecenia zawarte w raporcie </w:t>
      </w:r>
      <w:proofErr w:type="spellStart"/>
      <w:r>
        <w:rPr>
          <w:rFonts w:ascii="Arial" w:hAnsi="Arial"/>
          <w:i/>
          <w:iCs/>
          <w:sz w:val="22"/>
          <w:szCs w:val="22"/>
        </w:rPr>
        <w:t>Draghiego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w plan działania. Teraz mamy zatem plan. Mamy wolę polityczną. Liczy się szybkość i jedność. Świat nie czeka na nas. Jest zgoda wszystkich państw członkowskich w tej kwestii. Przekujmy zatem ten konsensus w działanie.</w:t>
      </w:r>
      <w:r>
        <w:rPr>
          <w:rFonts w:ascii="Arial" w:hAnsi="Arial"/>
          <w:sz w:val="22"/>
          <w:szCs w:val="22"/>
        </w:rPr>
        <w:t xml:space="preserve"> - podkreślała </w:t>
      </w:r>
      <w:proofErr w:type="spellStart"/>
      <w:r>
        <w:rPr>
          <w:rFonts w:ascii="Arial" w:hAnsi="Arial"/>
          <w:b/>
          <w:bCs/>
          <w:sz w:val="22"/>
          <w:szCs w:val="22"/>
        </w:rPr>
        <w:t>Ursula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von der </w:t>
      </w:r>
      <w:proofErr w:type="spellStart"/>
      <w:r>
        <w:rPr>
          <w:rFonts w:ascii="Arial" w:hAnsi="Arial"/>
          <w:b/>
          <w:bCs/>
          <w:sz w:val="22"/>
          <w:szCs w:val="22"/>
        </w:rPr>
        <w:t>Leyen</w:t>
      </w:r>
      <w:proofErr w:type="spellEnd"/>
      <w:r>
        <w:rPr>
          <w:rFonts w:ascii="Arial" w:hAnsi="Arial"/>
          <w:b/>
          <w:bCs/>
          <w:sz w:val="22"/>
          <w:szCs w:val="22"/>
        </w:rPr>
        <w:t>, przewodnicząca Komisji Europejskiej.</w:t>
      </w:r>
    </w:p>
    <w:p w14:paraId="7529102E" w14:textId="77777777" w:rsidR="00A511FC" w:rsidRDefault="00A511FC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570319EB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63B4CC18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435EBD3B" w14:textId="77777777" w:rsidR="00A511FC" w:rsidRDefault="00A511FC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248E587A" w14:textId="77777777" w:rsidR="00A511FC" w:rsidRDefault="00A511FC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5938CE61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343C47C0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20AF9627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6C65D3D4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52709332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7E454EAC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3B73342B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55F229D7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0518D81E" w14:textId="77777777" w:rsidR="00221ED6" w:rsidRDefault="00221ED6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03E50436" w14:textId="77777777" w:rsidR="00A511FC" w:rsidRDefault="00A511FC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03DF2E76" w14:textId="77777777" w:rsidR="00A511FC" w:rsidRDefault="00A511FC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24062A1A" w14:textId="77777777" w:rsidR="00A511FC" w:rsidRDefault="00A511FC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1B89FAFE" w14:textId="77777777" w:rsidR="00A511FC" w:rsidRDefault="00A511FC">
      <w:pPr>
        <w:spacing w:line="253" w:lineRule="atLeast"/>
        <w:jc w:val="both"/>
        <w:rPr>
          <w:rFonts w:ascii="Arial" w:eastAsia="Arial" w:hAnsi="Arial" w:cs="Arial"/>
        </w:rPr>
      </w:pPr>
    </w:p>
    <w:p w14:paraId="176EAA0F" w14:textId="77777777" w:rsidR="00A511FC" w:rsidRDefault="00A511FC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0B7EB561" w14:textId="77777777" w:rsidR="00A511FC" w:rsidRDefault="00000000">
      <w:pPr>
        <w:spacing w:line="253" w:lineRule="atLeast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8"/>
          <w:szCs w:val="18"/>
          <w:u w:val="single"/>
        </w:rPr>
        <w:t>medi</w:t>
      </w:r>
      <w:proofErr w:type="spellEnd"/>
      <w:r>
        <w:rPr>
          <w:rFonts w:ascii="Arial" w:hAnsi="Arial"/>
          <w:b/>
          <w:b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  <w:u w:val="single"/>
        </w:rPr>
        <w:t>w:</w:t>
      </w:r>
    </w:p>
    <w:p w14:paraId="1700F8FF" w14:textId="77777777" w:rsidR="00A511FC" w:rsidRDefault="00A511FC">
      <w:pPr>
        <w:spacing w:line="253" w:lineRule="atLeast"/>
        <w:jc w:val="both"/>
        <w:rPr>
          <w:rStyle w:val="BrakA"/>
          <w:sz w:val="18"/>
          <w:szCs w:val="18"/>
        </w:rPr>
      </w:pPr>
    </w:p>
    <w:p w14:paraId="1B5D0F4D" w14:textId="77777777" w:rsidR="00A511FC" w:rsidRDefault="00000000">
      <w:pPr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Agencja Open Minded Group: </w:t>
      </w:r>
      <w:hyperlink r:id="rId7" w:history="1">
        <w:r>
          <w:rPr>
            <w:rStyle w:val="Hyperlink0"/>
          </w:rPr>
          <w:t>pr@openmindedgroup.pl</w:t>
        </w:r>
      </w:hyperlink>
    </w:p>
    <w:p w14:paraId="5C20CD72" w14:textId="77777777" w:rsidR="00A511FC" w:rsidRDefault="00000000">
      <w:pPr>
        <w:spacing w:after="200"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 xml:space="preserve">Renata Stefanowska: </w:t>
      </w:r>
      <w:hyperlink r:id="rId8" w:history="1">
        <w:r>
          <w:rPr>
            <w:rStyle w:val="Hyperlink1"/>
          </w:rPr>
          <w:t>renata.stefanowska@bcc.pl</w:t>
        </w:r>
      </w:hyperlink>
    </w:p>
    <w:p w14:paraId="71766B66" w14:textId="77777777" w:rsidR="00A511FC" w:rsidRDefault="00A511FC">
      <w:pPr>
        <w:spacing w:after="200"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670311DA" w14:textId="77777777" w:rsidR="00A511FC" w:rsidRDefault="00A511FC">
      <w:pPr>
        <w:spacing w:line="253" w:lineRule="atLeast"/>
        <w:jc w:val="both"/>
        <w:rPr>
          <w:rStyle w:val="Brak"/>
          <w:sz w:val="16"/>
          <w:szCs w:val="16"/>
          <w:u w:color="800080"/>
        </w:rPr>
      </w:pPr>
    </w:p>
    <w:p w14:paraId="7BD0C450" w14:textId="77777777" w:rsidR="00A511FC" w:rsidRDefault="00A511FC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13083564" w14:textId="77777777" w:rsidR="00A511FC" w:rsidRDefault="00A511FC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3CF4E86A" w14:textId="77777777" w:rsidR="00A511FC" w:rsidRDefault="00A511FC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1A84EEFF" w14:textId="77777777" w:rsidR="00A511FC" w:rsidRDefault="00000000">
      <w:pPr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0D57DB11" wp14:editId="7E7BD8FD">
            <wp:simplePos x="0" y="0"/>
            <wp:positionH relativeFrom="page">
              <wp:posOffset>874394</wp:posOffset>
            </wp:positionH>
            <wp:positionV relativeFrom="line">
              <wp:posOffset>60960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78D160DC" w14:textId="77777777" w:rsidR="00A511FC" w:rsidRDefault="00A511FC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137DC8EB" w14:textId="77777777" w:rsidR="00A511FC" w:rsidRDefault="00000000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0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1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3"/>
          </w:rPr>
          <w:t>X &gt;</w:t>
        </w:r>
      </w:hyperlink>
    </w:p>
    <w:sectPr w:rsidR="00A511FC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726B" w14:textId="77777777" w:rsidR="003615EB" w:rsidRDefault="003615EB">
      <w:r>
        <w:separator/>
      </w:r>
    </w:p>
  </w:endnote>
  <w:endnote w:type="continuationSeparator" w:id="0">
    <w:p w14:paraId="3F219E10" w14:textId="77777777" w:rsidR="003615EB" w:rsidRDefault="0036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8ED7" w14:textId="77777777" w:rsidR="00A511FC" w:rsidRDefault="00A511F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BD7B3" w14:textId="77777777" w:rsidR="003615EB" w:rsidRDefault="003615EB">
      <w:r>
        <w:separator/>
      </w:r>
    </w:p>
  </w:footnote>
  <w:footnote w:type="continuationSeparator" w:id="0">
    <w:p w14:paraId="584E1EE1" w14:textId="77777777" w:rsidR="003615EB" w:rsidRDefault="0036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3D3E" w14:textId="77777777" w:rsidR="00A511FC" w:rsidRDefault="00A511F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FC"/>
    <w:rsid w:val="00221ED6"/>
    <w:rsid w:val="003615EB"/>
    <w:rsid w:val="00936B54"/>
    <w:rsid w:val="00A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431B"/>
  <w15:docId w15:val="{CA927A8F-1FDB-4C80-9E32-76C35E4B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A">
    <w:name w:val="Domyślne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twitter.com/BCC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2025-02-10T08:52:00Z</dcterms:created>
  <dcterms:modified xsi:type="dcterms:W3CDTF">2025-02-10T08:52:00Z</dcterms:modified>
</cp:coreProperties>
</file>