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AD4D" w14:textId="77777777" w:rsidR="007A24B6" w:rsidRDefault="004670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  <w:t xml:space="preserve">Warszawa,  23.01.2025 r. </w:t>
      </w:r>
    </w:p>
    <w:p w14:paraId="06D47037" w14:textId="77777777" w:rsidR="007A24B6" w:rsidRDefault="007A24B6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1EE1B098" w14:textId="77777777" w:rsidR="007A24B6" w:rsidRDefault="004670E9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4141929E" wp14:editId="0BA284E1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3407D0D" w14:textId="77777777" w:rsidR="007A24B6" w:rsidRDefault="007A24B6">
      <w:pPr>
        <w:jc w:val="both"/>
        <w:rPr>
          <w:rFonts w:ascii="Arial Black" w:eastAsia="Arial Black" w:hAnsi="Arial Black" w:cs="Arial Black"/>
          <w:caps/>
          <w:color w:val="AF2F32"/>
          <w:sz w:val="26"/>
          <w:szCs w:val="26"/>
          <w:u w:val="single" w:color="AF2F32"/>
        </w:rPr>
      </w:pPr>
    </w:p>
    <w:p w14:paraId="6C0A40A6" w14:textId="77777777" w:rsidR="007A24B6" w:rsidRDefault="007A24B6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u w:val="single" w:color="AF2F32"/>
        </w:rPr>
      </w:pPr>
    </w:p>
    <w:p w14:paraId="605F13D8" w14:textId="77777777" w:rsidR="007A24B6" w:rsidRDefault="004670E9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30"/>
          <w:szCs w:val="30"/>
          <w:u w:color="AF2F32"/>
        </w:rPr>
      </w:pPr>
      <w:r>
        <w:rPr>
          <w:rFonts w:ascii="Arial Black" w:hAnsi="Arial Black"/>
          <w:caps/>
          <w:color w:val="AF2F32"/>
          <w:sz w:val="30"/>
          <w:szCs w:val="30"/>
          <w:u w:color="AF2F32"/>
          <w:lang w:val="es-ES_tradnl"/>
        </w:rPr>
        <w:t xml:space="preserve"> OCENA PROJEKTU USTAWY O ZARZ</w:t>
      </w:r>
      <w:r>
        <w:rPr>
          <w:rFonts w:ascii="Arial Black" w:hAnsi="Arial Black"/>
          <w:caps/>
          <w:color w:val="AF2F32"/>
          <w:sz w:val="30"/>
          <w:szCs w:val="30"/>
          <w:u w:color="AF2F32"/>
        </w:rPr>
        <w:t>ĄDZA</w:t>
      </w:r>
      <w:r>
        <w:rPr>
          <w:rFonts w:ascii="Arial Black" w:hAnsi="Arial Black"/>
          <w:caps/>
          <w:color w:val="AF2F32"/>
          <w:sz w:val="30"/>
          <w:szCs w:val="30"/>
          <w:u w:color="AF2F32"/>
          <w:lang w:val="es-ES_tradnl"/>
        </w:rPr>
        <w:t xml:space="preserve">NIU </w:t>
      </w:r>
    </w:p>
    <w:p w14:paraId="3A8922E8" w14:textId="77777777" w:rsidR="007A24B6" w:rsidRDefault="004670E9">
      <w:pPr>
        <w:spacing w:line="216" w:lineRule="auto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 Black" w:hAnsi="Arial Black"/>
          <w:caps/>
          <w:color w:val="AF2F32"/>
          <w:sz w:val="30"/>
          <w:szCs w:val="30"/>
          <w:u w:color="AF2F32"/>
        </w:rPr>
        <w:t>SPÓŁKAMI SKARBU PAŃ</w:t>
      </w:r>
      <w:r w:rsidRPr="00557A17">
        <w:rPr>
          <w:rFonts w:ascii="Arial Black" w:hAnsi="Arial Black"/>
          <w:caps/>
          <w:color w:val="AF2F32"/>
          <w:sz w:val="30"/>
          <w:szCs w:val="30"/>
          <w:u w:color="AF2F32"/>
        </w:rPr>
        <w:t>STWA</w:t>
      </w:r>
    </w:p>
    <w:p w14:paraId="3A0CE52A" w14:textId="77777777" w:rsidR="007A24B6" w:rsidRDefault="007A24B6">
      <w:pPr>
        <w:spacing w:after="120" w:line="278" w:lineRule="auto"/>
        <w:rPr>
          <w:rFonts w:ascii="Aptos" w:eastAsia="Aptos" w:hAnsi="Aptos" w:cs="Aptos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BC04FA8" w14:textId="77777777" w:rsidR="007A24B6" w:rsidRDefault="004670E9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Projekt Ustawy dotyczącej ładu korporacyjnego w spółkach z udziałem Skarby Państwa,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b/>
          <w:bCs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57A17"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ry</w:t>
      </w:r>
      <w:proofErr w:type="spellEnd"/>
      <w:r w:rsidRPr="00557A17"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sta</w:t>
      </w: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ł się wczoraj przedmiotem obrad sejmowej Komisji Gospodarki, oczekiwał na zainteresowanie posłów przez ponad 10 miesięcy. To za długo - wskazuje ekspertka BCC.</w:t>
      </w:r>
    </w:p>
    <w:p w14:paraId="3BBC99E0" w14:textId="77777777" w:rsidR="007A24B6" w:rsidRDefault="007A24B6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4D6808E8" w14:textId="2B2A63C7" w:rsidR="007A24B6" w:rsidRDefault="004670E9" w:rsidP="00557A17">
      <w:pPr>
        <w:tabs>
          <w:tab w:val="left" w:pos="284"/>
        </w:tabs>
        <w:suppressAutoHyphens/>
        <w:spacing w:after="120" w:line="278" w:lineRule="auto"/>
        <w:jc w:val="both"/>
        <w:rPr>
          <w:rFonts w:ascii="Arial" w:eastAsia="Arial" w:hAnsi="Arial" w:cs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 Polsce udział państwowej własności w majątku krajowym szacowany jest na ok 25-30% i za czas</w:t>
      </w:r>
      <w:r>
        <w:rPr>
          <w:rFonts w:ascii="Arial" w:hAnsi="Arial"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 poprzedniego rządu wzrastał. W istocie wpływ firm</w:t>
      </w:r>
      <w:r w:rsidR="00557A17"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państwowych na gospodarkę jest nawet wyższy, bo </w:t>
      </w:r>
      <w:proofErr w:type="spellStart"/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niekt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 z nich ukryte są w strukturach różnych funduszy i agencji.</w:t>
      </w:r>
    </w:p>
    <w:p w14:paraId="2B2A80A7" w14:textId="020F861A" w:rsidR="007A24B6" w:rsidRDefault="004670E9">
      <w:pPr>
        <w:suppressAutoHyphens/>
        <w:spacing w:line="278" w:lineRule="auto"/>
        <w:jc w:val="both"/>
        <w:rPr>
          <w:rFonts w:ascii="Arial" w:eastAsia="Arial" w:hAnsi="Arial" w:cs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Procedowany projekt koncentruje się na zapewnieniu profesjonalizmu</w:t>
      </w:r>
      <w:r w:rsidR="00557A17"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 fachowości w zarządzaniu majątkiem publicznym </w:t>
      </w:r>
      <w:r w:rsidR="00063FBF"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poprzez podniesienie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wymog</w:t>
      </w:r>
      <w:proofErr w:type="spellEnd"/>
      <w:r>
        <w:rPr>
          <w:rFonts w:ascii="Arial" w:hAnsi="Arial"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 kwalifikacyjnych                    i </w:t>
      </w:r>
      <w:proofErr w:type="spellStart"/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kryteri</w:t>
      </w:r>
      <w:proofErr w:type="spellEnd"/>
      <w:r>
        <w:rPr>
          <w:rFonts w:ascii="Arial" w:hAnsi="Arial"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 wymaganych dla kandydat</w:t>
      </w:r>
      <w:r>
        <w:rPr>
          <w:rFonts w:ascii="Arial" w:hAnsi="Arial"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 do organ</w:t>
      </w:r>
      <w:r>
        <w:rPr>
          <w:rFonts w:ascii="Arial" w:hAnsi="Arial"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 korporacyjnych spółek państwowych, odpolitycznieniu tych </w:t>
      </w:r>
      <w:proofErr w:type="spellStart"/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gremi</w:t>
      </w:r>
      <w:proofErr w:type="spellEnd"/>
      <w:r>
        <w:rPr>
          <w:rFonts w:ascii="Arial" w:hAnsi="Arial"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 oraz jawności wynagradzania os</w:t>
      </w:r>
      <w:r>
        <w:rPr>
          <w:rFonts w:ascii="Arial" w:hAnsi="Arial"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 tam zasiadających.</w:t>
      </w:r>
    </w:p>
    <w:p w14:paraId="18964E61" w14:textId="77777777" w:rsidR="007A24B6" w:rsidRDefault="007A24B6">
      <w:pPr>
        <w:suppressAutoHyphens/>
        <w:spacing w:line="278" w:lineRule="auto"/>
        <w:jc w:val="both"/>
        <w:rPr>
          <w:rFonts w:ascii="Arial" w:eastAsia="Arial" w:hAnsi="Arial" w:cs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9498C32" w14:textId="77777777" w:rsidR="007A24B6" w:rsidRDefault="004670E9">
      <w:pPr>
        <w:suppressAutoHyphens/>
        <w:spacing w:line="27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ŁAD KORPORACYJNY - OPÓŻNIENIA I BRAKI</w:t>
      </w:r>
    </w:p>
    <w:p w14:paraId="75943367" w14:textId="77777777" w:rsidR="007A24B6" w:rsidRDefault="007A24B6">
      <w:pPr>
        <w:suppressAutoHyphens/>
        <w:spacing w:line="278" w:lineRule="auto"/>
        <w:jc w:val="both"/>
        <w:rPr>
          <w:rFonts w:ascii="Arial" w:eastAsia="Arial" w:hAnsi="Arial" w:cs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184DD12" w14:textId="253AB73D" w:rsidR="007A24B6" w:rsidRDefault="004670E9">
      <w:pPr>
        <w:numPr>
          <w:ilvl w:val="0"/>
          <w:numId w:val="2"/>
        </w:numPr>
        <w:suppressAutoHyphens/>
        <w:spacing w:line="278" w:lineRule="auto"/>
        <w:jc w:val="both"/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Projekt powstał w marcu 2024 roku i chociaż uznawany był za bardzo pilny i ważny instrument naprawy sfery zarządzania majątkiem państwowym z niewiadomych 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powod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 na długo utkwił w sejmowej zamrażarce. Obecną wersję projektu wzbogacono o kilka dobrych zmian, a w jego uzasadnieniu 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powoł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it-IT"/>
          <w14:textOutline w14:w="0" w14:cap="flat" w14:cmpd="sng" w14:algn="ctr">
            <w14:noFill/>
            <w14:prstDash w14:val="solid"/>
            <w14:bevel/>
          </w14:textOutline>
        </w:rPr>
        <w:t>ano si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ę na regulacje prawne dotyczące zarządzania tzw. jednostkami interesu publicznego tj. spółkami z decydującym udział</w:t>
      </w:r>
      <w:r>
        <w:rPr>
          <w:rFonts w:ascii="Arial" w:hAnsi="Arial"/>
          <w:i/>
          <w:iCs/>
          <w:kern w:val="2"/>
          <w:sz w:val="22"/>
          <w:szCs w:val="22"/>
          <w:lang w:val="pt-PT"/>
          <w14:textOutline w14:w="0" w14:cap="flat" w14:cmpd="sng" w14:algn="ctr">
            <w14:noFill/>
            <w14:prstDash w14:val="solid"/>
            <w14:bevel/>
          </w14:textOutline>
        </w:rPr>
        <w:t>em pa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ństwa</w:t>
      </w:r>
      <w:proofErr w:type="spellEnd"/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lub samorządu, jakie obowiązują w innych krajach UE. Ryzyko braku skutecznych działań legislacyjnych w tym obszarze sprawi, iż w dalszym ciągu utrwalana będzie zasada, że monopol na zarządzanie spółkami państwowymi mają urzędnicy, traktujący te aktywa w większym lub w mniejszym stopniu zgodnie z interesami partii politycznych tworzących rząd, a nie jako podmioty działające w oparciu o interes własny i posiadany statut. 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- mówi </w:t>
      </w: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Grażyna Majcher Magdziak, ekspertka BCC ds. przekształceń własnościowych, minister skarbu i prywatyzacji</w:t>
      </w:r>
      <w:r w:rsidR="00063FBF"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="00063FBF"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think</w:t>
      </w:r>
      <w:proofErr w:type="spellEnd"/>
      <w:r w:rsidR="00063FBF"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tanku BCC Gospodarczy Gabinet Cieni</w:t>
      </w: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 członek Rady Dialogu Społecznego.</w:t>
      </w:r>
    </w:p>
    <w:p w14:paraId="7121CFAE" w14:textId="77777777" w:rsidR="007A24B6" w:rsidRDefault="007A24B6">
      <w:pPr>
        <w:suppressAutoHyphens/>
        <w:spacing w:line="278" w:lineRule="auto"/>
        <w:jc w:val="both"/>
        <w:rPr>
          <w:rFonts w:ascii="Arial" w:eastAsia="Arial" w:hAnsi="Arial" w:cs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392945BD" w14:textId="77777777" w:rsidR="007A24B6" w:rsidRDefault="004670E9">
      <w:pPr>
        <w:numPr>
          <w:ilvl w:val="0"/>
          <w:numId w:val="2"/>
        </w:numPr>
        <w:suppressAutoHyphens/>
        <w:spacing w:line="278" w:lineRule="auto"/>
        <w:jc w:val="both"/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Rozwiązania proponowane w projekcie Ustawy powinny pozytywnie wpływać na gospodarowanie majątkiem publicznym pod warunkiem jednak, że czas ich wdrożenia nie będzie się przeciągał, a praktyczna realizacja nie odbiegnie od tych ujętych w zapisach.             To zaś zawsze szwankował</w:t>
      </w:r>
      <w:r>
        <w:rPr>
          <w:rFonts w:ascii="Arial" w:hAnsi="Arial"/>
          <w:kern w:val="2"/>
          <w:sz w:val="22"/>
          <w:szCs w:val="22"/>
          <w:lang w:val="it-IT"/>
          <w14:textOutline w14:w="0" w14:cap="flat" w14:cmpd="sng" w14:algn="ctr">
            <w14:noFill/>
            <w14:prstDash w14:val="solid"/>
            <w14:bevel/>
          </w14:textOutline>
        </w:rPr>
        <w:t>o.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- dodaje</w:t>
      </w: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ekspertka.</w:t>
      </w:r>
    </w:p>
    <w:p w14:paraId="7F65437D" w14:textId="77777777" w:rsidR="007A24B6" w:rsidRDefault="007A24B6">
      <w:pPr>
        <w:suppressAutoHyphens/>
        <w:spacing w:after="120" w:line="27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ADB1ED3" w14:textId="77777777" w:rsidR="007A24B6" w:rsidRDefault="007A24B6">
      <w:pPr>
        <w:suppressAutoHyphens/>
        <w:spacing w:after="120" w:line="27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33A6DC6" w14:textId="77777777" w:rsidR="007A24B6" w:rsidRDefault="007A24B6">
      <w:pPr>
        <w:suppressAutoHyphens/>
        <w:spacing w:after="120" w:line="27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23923F24" w14:textId="77777777" w:rsidR="007A24B6" w:rsidRDefault="004670E9">
      <w:pPr>
        <w:suppressAutoHyphens/>
        <w:spacing w:after="120" w:line="27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KONIECZNA REWIZJA FIRM PAŃSTWOWYCH </w:t>
      </w:r>
    </w:p>
    <w:p w14:paraId="3C8D0572" w14:textId="77777777" w:rsidR="007A24B6" w:rsidRDefault="004670E9">
      <w:pPr>
        <w:suppressAutoHyphens/>
        <w:spacing w:after="120" w:line="278" w:lineRule="auto"/>
        <w:jc w:val="both"/>
        <w:rPr>
          <w:rFonts w:ascii="Arial" w:eastAsia="Arial" w:hAnsi="Arial" w:cs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Firmy państwowe to w większości spółki o kluczowym znaczeniu dla gospodarki więc efektywność zarządzania nimi jest dla budżetu bardzo istotna. </w:t>
      </w:r>
    </w:p>
    <w:p w14:paraId="0916B731" w14:textId="0293B66D" w:rsidR="007A24B6" w:rsidRDefault="004670E9">
      <w:pPr>
        <w:suppressAutoHyphens/>
        <w:spacing w:after="120" w:line="278" w:lineRule="auto"/>
        <w:jc w:val="both"/>
        <w:rPr>
          <w:rFonts w:ascii="Arial" w:eastAsia="Arial" w:hAnsi="Arial" w:cs="Arial"/>
          <w:b/>
          <w:bCs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Jak zauważa </w:t>
      </w: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Grażyna </w:t>
      </w:r>
      <w:r w:rsidR="00557A17"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</w:t>
      </w: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ajcher-Magdziak: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wiele z firm państwowych mniej ważnych dla funkcjonowania kraju, znajduje się w sytuacji ekonomicznej wymagającej</w:t>
      </w:r>
      <w:r w:rsidR="00063FBF"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wsparcia finansowego ze strony właściciela, czyli państwa, co generuje wysokie</w:t>
      </w:r>
      <w:r w:rsidR="00063FBF"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koszty społeczne. Oznacza to że </w:t>
      </w:r>
      <w:r>
        <w:rPr>
          <w:rFonts w:ascii="Arial" w:hAnsi="Arial"/>
          <w:b/>
          <w:bCs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procedowany projekt jest tylko cząstką regulacji niezbędnych dla uporządkowania zasad gospodarowania mieniem państwowym. </w:t>
      </w:r>
    </w:p>
    <w:p w14:paraId="477E7EEF" w14:textId="3B34F2B3" w:rsidR="007A24B6" w:rsidRDefault="004670E9">
      <w:pPr>
        <w:suppressAutoHyphens/>
        <w:spacing w:after="160" w:line="278" w:lineRule="auto"/>
        <w:jc w:val="both"/>
        <w:rPr>
          <w:rFonts w:ascii="Arial" w:eastAsia="Arial" w:hAnsi="Arial" w:cs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Arial" w:hAnsi="Arial"/>
          <w:b/>
          <w:bCs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Koniecznym elementem dalszych działań odnośnie majątku państwowego jest    bowiem określenie roli firm państwowych w gospodarce oraz rozpoznanie i ocena stanu tego mienia tj. kondycji spółek należących do państwa lub posiadających w kapitale dominujący udział państwa. Następnie zaś podjęcie decyzji, 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re z tych spółek dalej stanowić powinny mienie państwowe, a 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re aktywa zagospodarować </w:t>
      </w:r>
      <w:r>
        <w:rPr>
          <w:rFonts w:ascii="Arial" w:hAnsi="Arial"/>
          <w:i/>
          <w:iCs/>
          <w:kern w:val="2"/>
          <w:sz w:val="22"/>
          <w:szCs w:val="22"/>
          <w:lang w:val="it-IT"/>
          <w14:textOutline w14:w="0" w14:cap="flat" w14:cmpd="sng" w14:algn="ctr">
            <w14:noFill/>
            <w14:prstDash w14:val="solid"/>
            <w14:bevel/>
          </w14:textOutline>
        </w:rPr>
        <w:t>nale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ży</w:t>
      </w:r>
      <w:proofErr w:type="spellEnd"/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inaczej to znaczy sprzedać lub zlikwidować. Brak takiego przeglądu i brak praktycznych działań w tym zakresie oznacza ryzyko dalszego ponoszenia zbędnych koszt</w:t>
      </w:r>
      <w:r>
        <w:rPr>
          <w:rFonts w:ascii="Arial" w:hAnsi="Arial"/>
          <w:i/>
          <w:iCs/>
          <w:kern w:val="2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 społecznych i to w warunkach dużego                    i rosnącego deficytu budżetowego. 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- podsumowuje ekspertka </w:t>
      </w:r>
      <w:r>
        <w:rPr>
          <w:rFonts w:ascii="Arial" w:hAnsi="Arial"/>
          <w:b/>
          <w:b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BCC</w:t>
      </w:r>
      <w:r>
        <w:rPr>
          <w:rFonts w:ascii="Arial" w:hAnsi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AD87023" w14:textId="77777777" w:rsidR="007A24B6" w:rsidRDefault="007A24B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jc w:val="both"/>
        <w:rPr>
          <w:rFonts w:ascii="Helvetica" w:eastAsia="Helvetica" w:hAnsi="Helvetica" w:cs="Helvetica"/>
          <w:color w:val="3D3D3D"/>
          <w:u w:color="3D3D3D"/>
          <w:shd w:val="clear" w:color="auto" w:fill="FFFFFF"/>
        </w:rPr>
      </w:pPr>
    </w:p>
    <w:p w14:paraId="3C52DC56" w14:textId="77777777" w:rsidR="007A24B6" w:rsidRDefault="007A24B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jc w:val="both"/>
        <w:rPr>
          <w:rFonts w:ascii="Arial" w:eastAsia="Arial" w:hAnsi="Arial" w:cs="Arial"/>
          <w:color w:val="3D3D3D"/>
          <w:u w:color="3D3D3D"/>
        </w:rPr>
      </w:pPr>
    </w:p>
    <w:p w14:paraId="51DB9F1D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71740D80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0C36CBE8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2D39460B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0940E7C5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1A0826E4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45C8C6C1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427DB05B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color w:val="3D3D3D"/>
          <w:sz w:val="18"/>
          <w:szCs w:val="18"/>
          <w:u w:color="3D3D3D"/>
        </w:rPr>
      </w:pPr>
    </w:p>
    <w:p w14:paraId="6AE36F85" w14:textId="77777777" w:rsidR="007A24B6" w:rsidRDefault="007A24B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323A20B4" w14:textId="77777777" w:rsidR="007A24B6" w:rsidRDefault="004670E9">
      <w:pPr>
        <w:spacing w:line="253" w:lineRule="atLeast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7B0555B4" w14:textId="77777777" w:rsidR="007A24B6" w:rsidRDefault="007A24B6">
      <w:pPr>
        <w:spacing w:line="253" w:lineRule="atLeast"/>
        <w:jc w:val="both"/>
      </w:pPr>
    </w:p>
    <w:p w14:paraId="16B5E310" w14:textId="77777777" w:rsidR="007A24B6" w:rsidRDefault="004670E9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8" w:history="1">
        <w:r>
          <w:rPr>
            <w:rStyle w:val="Hyperlink0"/>
          </w:rPr>
          <w:t>pr@openmindedgroup.pl</w:t>
        </w:r>
      </w:hyperlink>
    </w:p>
    <w:p w14:paraId="5AD49C47" w14:textId="77777777" w:rsidR="007A24B6" w:rsidRDefault="004670E9">
      <w:pPr>
        <w:spacing w:after="200"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Renata Stefanowska: </w:t>
      </w:r>
      <w:hyperlink r:id="rId9" w:history="1">
        <w:r>
          <w:rPr>
            <w:rStyle w:val="Hyperlink1"/>
          </w:rPr>
          <w:t>renata.stefanowska@bcc.pl</w:t>
        </w:r>
      </w:hyperlink>
    </w:p>
    <w:p w14:paraId="297C23DD" w14:textId="77777777" w:rsidR="007A24B6" w:rsidRDefault="007A24B6">
      <w:pPr>
        <w:spacing w:line="253" w:lineRule="atLeast"/>
        <w:jc w:val="both"/>
        <w:rPr>
          <w:rStyle w:val="Brak"/>
          <w:sz w:val="16"/>
          <w:szCs w:val="16"/>
          <w:u w:color="800080"/>
        </w:rPr>
      </w:pPr>
    </w:p>
    <w:p w14:paraId="1A78A77C" w14:textId="77777777" w:rsidR="007A24B6" w:rsidRDefault="007A24B6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21BDFD7E" w14:textId="77777777" w:rsidR="007A24B6" w:rsidRDefault="007A24B6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10B27C28" w14:textId="77777777" w:rsidR="007A24B6" w:rsidRDefault="004670E9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74D0582B" wp14:editId="77D35ECE">
            <wp:simplePos x="0" y="0"/>
            <wp:positionH relativeFrom="page">
              <wp:posOffset>893444</wp:posOffset>
            </wp:positionH>
            <wp:positionV relativeFrom="line">
              <wp:posOffset>166370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51B28B" w14:textId="77777777" w:rsidR="007A24B6" w:rsidRDefault="004670E9">
      <w:pPr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1B3B5830" w14:textId="77777777" w:rsidR="007A24B6" w:rsidRDefault="007A24B6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4EB2ED2C" w14:textId="77777777" w:rsidR="007A24B6" w:rsidRDefault="004670E9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7A24B6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4FC8" w14:textId="77777777" w:rsidR="00221E41" w:rsidRDefault="00221E41">
      <w:r>
        <w:separator/>
      </w:r>
    </w:p>
  </w:endnote>
  <w:endnote w:type="continuationSeparator" w:id="0">
    <w:p w14:paraId="5388FC40" w14:textId="77777777" w:rsidR="00221E41" w:rsidRDefault="0022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ACC2" w14:textId="77777777" w:rsidR="007A24B6" w:rsidRDefault="007A24B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E547B" w14:textId="77777777" w:rsidR="00221E41" w:rsidRDefault="00221E41">
      <w:r>
        <w:separator/>
      </w:r>
    </w:p>
  </w:footnote>
  <w:footnote w:type="continuationSeparator" w:id="0">
    <w:p w14:paraId="1FD59484" w14:textId="77777777" w:rsidR="00221E41" w:rsidRDefault="0022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3147" w14:textId="77777777" w:rsidR="007A24B6" w:rsidRDefault="007A24B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7F0A"/>
    <w:multiLevelType w:val="hybridMultilevel"/>
    <w:tmpl w:val="6E6C85E4"/>
    <w:numStyleLink w:val="Punktory"/>
  </w:abstractNum>
  <w:abstractNum w:abstractNumId="1" w15:restartNumberingAfterBreak="0">
    <w:nsid w:val="7FD27917"/>
    <w:multiLevelType w:val="hybridMultilevel"/>
    <w:tmpl w:val="6E6C85E4"/>
    <w:styleLink w:val="Punktory"/>
    <w:lvl w:ilvl="0" w:tplc="E3E0B0F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6AB1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C236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E75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2E6B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FEAB4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CE74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094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1AAC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7433689">
    <w:abstractNumId w:val="1"/>
  </w:num>
  <w:num w:numId="2" w16cid:durableId="61787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B6"/>
    <w:rsid w:val="00063FBF"/>
    <w:rsid w:val="00221E41"/>
    <w:rsid w:val="002F12A4"/>
    <w:rsid w:val="004165AC"/>
    <w:rsid w:val="004670E9"/>
    <w:rsid w:val="00557A17"/>
    <w:rsid w:val="007A24B6"/>
    <w:rsid w:val="00C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2B2C"/>
  <w15:docId w15:val="{20CC65E5-9B11-48D8-9996-FC780F2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numbering" w:customStyle="1" w:styleId="Punktory">
    <w:name w:val="Punktory"/>
    <w:pPr>
      <w:numPr>
        <w:numId w:val="1"/>
      </w:numPr>
    </w:pPr>
  </w:style>
  <w:style w:type="paragraph" w:customStyle="1" w:styleId="DomylneA">
    <w:name w:val="Domyślne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2</cp:revision>
  <dcterms:created xsi:type="dcterms:W3CDTF">2025-01-27T10:14:00Z</dcterms:created>
  <dcterms:modified xsi:type="dcterms:W3CDTF">2025-01-27T10:14:00Z</dcterms:modified>
</cp:coreProperties>
</file>