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8B" w:rsidRPr="00A60DED" w:rsidRDefault="0023318B" w:rsidP="0023318B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3B6D9513" wp14:editId="75FCD4F0">
            <wp:extent cx="1941928" cy="2161365"/>
            <wp:effectExtent l="0" t="0" r="1270" b="0"/>
            <wp:docPr id="3" name="Obraz 3" descr="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9" cy="2162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18B" w:rsidRPr="00A37E8B" w:rsidRDefault="0023318B" w:rsidP="0023318B">
      <w:pPr>
        <w:tabs>
          <w:tab w:val="left" w:pos="0"/>
          <w:tab w:val="left" w:pos="8647"/>
          <w:tab w:val="left" w:pos="9072"/>
        </w:tabs>
        <w:spacing w:after="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18"/>
          <w:szCs w:val="24"/>
          <w:lang w:eastAsia="pl-PL"/>
        </w:rPr>
      </w:pPr>
    </w:p>
    <w:p w:rsidR="0023318B" w:rsidRPr="00A12101" w:rsidRDefault="0023318B" w:rsidP="0023318B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Times New Roman"/>
          <w:sz w:val="16"/>
          <w:szCs w:val="20"/>
          <w:lang w:val="x-none" w:eastAsia="x-none"/>
        </w:rPr>
      </w:pPr>
      <w:r>
        <w:rPr>
          <w:rFonts w:ascii="Arial" w:eastAsia="Times New Roman" w:hAnsi="Arial" w:cs="Times New Roman"/>
          <w:sz w:val="16"/>
          <w:szCs w:val="20"/>
          <w:lang w:val="x-none" w:eastAsia="x-none"/>
        </w:rPr>
        <w:t xml:space="preserve">Warszawa, </w:t>
      </w:r>
      <w:r>
        <w:rPr>
          <w:rFonts w:ascii="Arial" w:eastAsia="Times New Roman" w:hAnsi="Arial" w:cs="Times New Roman"/>
          <w:sz w:val="16"/>
          <w:szCs w:val="20"/>
          <w:lang w:eastAsia="x-none"/>
        </w:rPr>
        <w:t>1</w:t>
      </w:r>
      <w:r>
        <w:rPr>
          <w:rFonts w:ascii="Arial" w:eastAsia="Times New Roman" w:hAnsi="Arial" w:cs="Times New Roman"/>
          <w:sz w:val="16"/>
          <w:szCs w:val="20"/>
          <w:lang w:eastAsia="x-none"/>
        </w:rPr>
        <w:t xml:space="preserve">0 </w:t>
      </w:r>
      <w:r>
        <w:rPr>
          <w:rFonts w:ascii="Arial" w:eastAsia="Times New Roman" w:hAnsi="Arial" w:cs="Times New Roman"/>
          <w:sz w:val="16"/>
          <w:szCs w:val="20"/>
          <w:lang w:eastAsia="x-none"/>
        </w:rPr>
        <w:t>maja</w:t>
      </w:r>
      <w:r>
        <w:rPr>
          <w:rFonts w:ascii="Arial" w:eastAsia="Times New Roman" w:hAnsi="Arial" w:cs="Times New Roman"/>
          <w:sz w:val="16"/>
          <w:szCs w:val="20"/>
          <w:lang w:eastAsia="x-none"/>
        </w:rPr>
        <w:t xml:space="preserve"> </w:t>
      </w:r>
      <w:r w:rsidRPr="00A12101">
        <w:rPr>
          <w:rFonts w:ascii="Arial" w:eastAsia="Times New Roman" w:hAnsi="Arial" w:cs="Times New Roman"/>
          <w:sz w:val="16"/>
          <w:szCs w:val="20"/>
          <w:lang w:eastAsia="x-none"/>
        </w:rPr>
        <w:t>2</w:t>
      </w:r>
      <w:r w:rsidRPr="00A12101">
        <w:rPr>
          <w:rFonts w:ascii="Arial" w:eastAsia="Times New Roman" w:hAnsi="Arial" w:cs="Times New Roman"/>
          <w:sz w:val="16"/>
          <w:szCs w:val="20"/>
          <w:lang w:val="x-none" w:eastAsia="x-none"/>
        </w:rPr>
        <w:t>0</w:t>
      </w:r>
      <w:r w:rsidRPr="00A12101">
        <w:rPr>
          <w:rFonts w:ascii="Arial" w:eastAsia="Times New Roman" w:hAnsi="Arial" w:cs="Times New Roman"/>
          <w:sz w:val="16"/>
          <w:szCs w:val="20"/>
          <w:lang w:eastAsia="x-none"/>
        </w:rPr>
        <w:t>21</w:t>
      </w:r>
      <w:r w:rsidRPr="00A12101">
        <w:rPr>
          <w:rFonts w:ascii="Arial" w:eastAsia="Times New Roman" w:hAnsi="Arial" w:cs="Times New Roman"/>
          <w:sz w:val="16"/>
          <w:szCs w:val="20"/>
          <w:lang w:val="x-none" w:eastAsia="x-none"/>
        </w:rPr>
        <w:t xml:space="preserve"> r.</w:t>
      </w:r>
    </w:p>
    <w:p w:rsidR="0023318B" w:rsidRPr="002F635E" w:rsidRDefault="0023318B" w:rsidP="0023318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x-none"/>
        </w:rPr>
        <w:t>Opinia</w:t>
      </w:r>
    </w:p>
    <w:p w:rsidR="0023318B" w:rsidRDefault="0023318B" w:rsidP="0023318B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bookmarkStart w:id="0" w:name="OLE_LINK1"/>
      <w:bookmarkStart w:id="1" w:name="OLE_LINK2"/>
      <w:bookmarkStart w:id="2" w:name="OLE_LINK3"/>
    </w:p>
    <w:p w:rsidR="0023318B" w:rsidRDefault="0023318B" w:rsidP="0023318B">
      <w:pP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23318B" w:rsidRPr="0023318B" w:rsidRDefault="0023318B" w:rsidP="0023318B">
      <w:pPr>
        <w:jc w:val="center"/>
        <w:rPr>
          <w:rFonts w:ascii="Arial" w:hAnsi="Arial" w:cs="Arial"/>
          <w:b/>
          <w:bCs/>
          <w:color w:val="000000" w:themeColor="text1"/>
          <w:szCs w:val="18"/>
        </w:rPr>
      </w:pPr>
      <w:r w:rsidRPr="0023318B">
        <w:rPr>
          <w:rFonts w:ascii="Arial" w:hAnsi="Arial" w:cs="Arial"/>
          <w:b/>
          <w:bCs/>
          <w:color w:val="000000" w:themeColor="text1"/>
          <w:szCs w:val="18"/>
        </w:rPr>
        <w:t>Więcej znaczy mnie</w:t>
      </w:r>
      <w:r>
        <w:rPr>
          <w:rFonts w:ascii="Arial" w:hAnsi="Arial" w:cs="Arial"/>
          <w:b/>
          <w:bCs/>
          <w:color w:val="000000" w:themeColor="text1"/>
          <w:szCs w:val="18"/>
        </w:rPr>
        <w:t>j</w:t>
      </w:r>
      <w:r w:rsidRPr="0023318B">
        <w:rPr>
          <w:rFonts w:ascii="Arial" w:hAnsi="Arial" w:cs="Arial"/>
          <w:b/>
          <w:bCs/>
          <w:color w:val="000000" w:themeColor="text1"/>
          <w:szCs w:val="18"/>
        </w:rPr>
        <w:t xml:space="preserve"> – czyli </w:t>
      </w:r>
      <w:r w:rsidRPr="0023318B">
        <w:rPr>
          <w:rFonts w:ascii="Arial" w:hAnsi="Arial" w:cs="Arial"/>
          <w:b/>
          <w:bCs/>
          <w:color w:val="000000" w:themeColor="text1"/>
          <w:szCs w:val="18"/>
        </w:rPr>
        <w:t xml:space="preserve">kilka uwag na temat tego, jak urósł Krajowy Plan </w:t>
      </w:r>
      <w:r>
        <w:rPr>
          <w:rFonts w:ascii="Arial" w:hAnsi="Arial" w:cs="Arial"/>
          <w:b/>
          <w:bCs/>
          <w:color w:val="000000" w:themeColor="text1"/>
          <w:szCs w:val="18"/>
        </w:rPr>
        <w:t>O</w:t>
      </w:r>
      <w:r w:rsidRPr="0023318B">
        <w:rPr>
          <w:rFonts w:ascii="Arial" w:hAnsi="Arial" w:cs="Arial"/>
          <w:b/>
          <w:bCs/>
          <w:color w:val="000000" w:themeColor="text1"/>
          <w:szCs w:val="18"/>
        </w:rPr>
        <w:t>dbudowy i co to oznacza dla polskich przedsiębiorców</w:t>
      </w:r>
    </w:p>
    <w:p w:rsidR="0023318B" w:rsidRDefault="0023318B" w:rsidP="00984B9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84B99">
        <w:rPr>
          <w:rFonts w:ascii="Arial" w:hAnsi="Arial" w:cs="Arial"/>
          <w:b/>
          <w:bCs/>
          <w:sz w:val="18"/>
          <w:szCs w:val="18"/>
        </w:rPr>
        <w:t>Najnowsza wersja przyję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tego przez Radę Ministrów </w:t>
      </w:r>
      <w:r w:rsidRPr="00984B99">
        <w:rPr>
          <w:rFonts w:ascii="Arial" w:hAnsi="Arial" w:cs="Arial"/>
          <w:b/>
          <w:bCs/>
          <w:sz w:val="18"/>
          <w:szCs w:val="18"/>
        </w:rPr>
        <w:t>projekt</w:t>
      </w:r>
      <w:r w:rsidRPr="00984B99">
        <w:rPr>
          <w:rFonts w:ascii="Arial" w:hAnsi="Arial" w:cs="Arial"/>
          <w:b/>
          <w:bCs/>
          <w:sz w:val="18"/>
          <w:szCs w:val="18"/>
        </w:rPr>
        <w:t>u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 Krajowego Planu Odbudowy (KPO), czyli dokumentu określającego zasady wydatkowania przez Polskę środków z unijnego Funduszu Odbudowy</w:t>
      </w:r>
      <w:r w:rsidRPr="00984B99">
        <w:rPr>
          <w:rFonts w:ascii="Arial" w:hAnsi="Arial" w:cs="Arial"/>
          <w:b/>
          <w:bCs/>
          <w:sz w:val="18"/>
          <w:szCs w:val="18"/>
        </w:rPr>
        <w:t>,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 jest istotnie rozbudowana w stosunku do poprzedniej wersji, która ujrzała światło dzienne pod koniec lutego br. i była przed</w:t>
      </w:r>
      <w:r w:rsidR="00984B99">
        <w:rPr>
          <w:rFonts w:ascii="Arial" w:hAnsi="Arial" w:cs="Arial"/>
          <w:b/>
          <w:bCs/>
          <w:sz w:val="18"/>
          <w:szCs w:val="18"/>
        </w:rPr>
        <w:t>miotem konsultacji społecznych.</w:t>
      </w:r>
    </w:p>
    <w:p w:rsidR="00984B99" w:rsidRPr="00984B99" w:rsidRDefault="00984B99" w:rsidP="00984B99">
      <w:pPr>
        <w:pStyle w:val="Akapitzlist"/>
        <w:jc w:val="both"/>
        <w:rPr>
          <w:rFonts w:ascii="Arial" w:hAnsi="Arial" w:cs="Arial"/>
          <w:b/>
          <w:bCs/>
          <w:sz w:val="18"/>
          <w:szCs w:val="18"/>
        </w:rPr>
      </w:pPr>
    </w:p>
    <w:p w:rsidR="0023318B" w:rsidRDefault="0023318B" w:rsidP="00984B9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84B99">
        <w:rPr>
          <w:rFonts w:ascii="Arial" w:hAnsi="Arial" w:cs="Arial"/>
          <w:b/>
          <w:bCs/>
          <w:sz w:val="18"/>
          <w:szCs w:val="18"/>
        </w:rPr>
        <w:t>Zwiększeniu uległa zarówno objętość samego dokumentu (z ponad dwustu do blisko pięciuset stron), jak i pula środków planowanych d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o rozdysponowania w ramach KPO 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z niecałych 24 mld </w:t>
      </w:r>
      <w:r w:rsidRPr="00984B99">
        <w:rPr>
          <w:rFonts w:ascii="Arial" w:hAnsi="Arial" w:cs="Arial"/>
          <w:b/>
          <w:bCs/>
          <w:sz w:val="18"/>
          <w:szCs w:val="18"/>
        </w:rPr>
        <w:t>euro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 do prawie 36 mld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 euro</w:t>
      </w:r>
      <w:r w:rsidRPr="00984B99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984B99" w:rsidRPr="00984B99" w:rsidRDefault="00984B99" w:rsidP="00984B99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:rsidR="00984B99" w:rsidRDefault="00984B99" w:rsidP="00984B9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984B99">
        <w:rPr>
          <w:rFonts w:ascii="Arial" w:hAnsi="Arial" w:cs="Arial"/>
          <w:b/>
          <w:sz w:val="18"/>
          <w:szCs w:val="18"/>
        </w:rPr>
        <w:t xml:space="preserve">Niestety, zaproponowane w KPO zmiany w sposób istotny wpłynęły na ograniczenie puli środków z jakiej będą mogli skorzystać </w:t>
      </w:r>
      <w:bookmarkStart w:id="3" w:name="_GoBack"/>
      <w:r w:rsidRPr="00984B99">
        <w:rPr>
          <w:rFonts w:ascii="Arial" w:hAnsi="Arial" w:cs="Arial"/>
          <w:b/>
          <w:sz w:val="18"/>
          <w:szCs w:val="18"/>
        </w:rPr>
        <w:t xml:space="preserve">polscy </w:t>
      </w:r>
      <w:bookmarkEnd w:id="3"/>
      <w:r w:rsidRPr="00984B99">
        <w:rPr>
          <w:rFonts w:ascii="Arial" w:hAnsi="Arial" w:cs="Arial"/>
          <w:b/>
          <w:sz w:val="18"/>
          <w:szCs w:val="18"/>
        </w:rPr>
        <w:t>przedsiębiorcy</w:t>
      </w:r>
      <w:r w:rsidRPr="00984B99">
        <w:rPr>
          <w:rFonts w:ascii="Arial" w:hAnsi="Arial" w:cs="Arial"/>
          <w:sz w:val="18"/>
          <w:szCs w:val="18"/>
        </w:rPr>
        <w:t>.</w:t>
      </w:r>
    </w:p>
    <w:p w:rsidR="00984B99" w:rsidRPr="00984B99" w:rsidRDefault="00984B99" w:rsidP="00984B9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3318B" w:rsidRDefault="0023318B" w:rsidP="00984B99">
      <w:pPr>
        <w:spacing w:after="0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23318B">
        <w:rPr>
          <w:rFonts w:ascii="Arial" w:hAnsi="Arial" w:cs="Arial"/>
          <w:bCs/>
          <w:sz w:val="18"/>
          <w:szCs w:val="18"/>
          <w:u w:val="single"/>
        </w:rPr>
        <w:t>Z punktu widzenia przedsiębiorcy:</w:t>
      </w:r>
    </w:p>
    <w:p w:rsidR="00984B99" w:rsidRPr="0023318B" w:rsidRDefault="00984B99" w:rsidP="00984B99">
      <w:pPr>
        <w:spacing w:after="0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23318B" w:rsidRPr="0023318B" w:rsidRDefault="0023318B" w:rsidP="00233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Tak znaczące zwiększenie objętości</w:t>
      </w:r>
      <w:r w:rsidRPr="0023318B">
        <w:rPr>
          <w:rFonts w:ascii="Arial" w:hAnsi="Arial" w:cs="Arial"/>
          <w:sz w:val="18"/>
          <w:szCs w:val="18"/>
        </w:rPr>
        <w:t xml:space="preserve"> KPO wynika z tego, że wersja z lutego br. zawierała jedynie plan wykorzystania 24 mld </w:t>
      </w:r>
      <w:r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 xml:space="preserve"> z tzw. czę</w:t>
      </w:r>
      <w:r>
        <w:rPr>
          <w:rFonts w:ascii="Arial" w:hAnsi="Arial" w:cs="Arial"/>
          <w:sz w:val="18"/>
          <w:szCs w:val="18"/>
        </w:rPr>
        <w:t>ści grantowej Funduszu Odbudowy. N</w:t>
      </w:r>
      <w:r w:rsidRPr="0023318B">
        <w:rPr>
          <w:rFonts w:ascii="Arial" w:hAnsi="Arial" w:cs="Arial"/>
          <w:sz w:val="18"/>
          <w:szCs w:val="18"/>
        </w:rPr>
        <w:t>ie przedstawiała natomiast w ogóle pomysłów na zagospodarowanie środków z tzw. części pożyczkowej. Niedociągnięcie to naprawione zostało w najnowszej wersji projektu KPO, która obejmuje również inwestycje finansowane w ramach części pożyczkowej na niebagatelną kwotę 12 mld</w:t>
      </w:r>
      <w:r>
        <w:rPr>
          <w:rFonts w:ascii="Arial" w:hAnsi="Arial" w:cs="Arial"/>
          <w:sz w:val="18"/>
          <w:szCs w:val="18"/>
        </w:rPr>
        <w:t xml:space="preserve"> euro</w:t>
      </w:r>
      <w:r w:rsidRPr="0023318B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</w:t>
      </w:r>
      <w:r w:rsidRPr="0023318B">
        <w:rPr>
          <w:rFonts w:ascii="Arial" w:hAnsi="Arial" w:cs="Arial"/>
          <w:sz w:val="18"/>
          <w:szCs w:val="18"/>
        </w:rPr>
        <w:t xml:space="preserve">obrze, że budżet KPO uległ zwiększeniu </w:t>
      </w:r>
      <w:r>
        <w:rPr>
          <w:rFonts w:ascii="Arial" w:hAnsi="Arial" w:cs="Arial"/>
          <w:sz w:val="18"/>
          <w:szCs w:val="18"/>
        </w:rPr>
        <w:t>o około 50 proc.</w:t>
      </w:r>
      <w:r w:rsidRPr="002331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</w:t>
      </w:r>
      <w:r w:rsidRPr="0023318B">
        <w:rPr>
          <w:rFonts w:ascii="Arial" w:hAnsi="Arial" w:cs="Arial"/>
          <w:sz w:val="18"/>
          <w:szCs w:val="18"/>
        </w:rPr>
        <w:t xml:space="preserve">ednak </w:t>
      </w:r>
      <w:r>
        <w:rPr>
          <w:rFonts w:ascii="Arial" w:hAnsi="Arial" w:cs="Arial"/>
          <w:sz w:val="18"/>
          <w:szCs w:val="18"/>
        </w:rPr>
        <w:t>problem w tym</w:t>
      </w:r>
      <w:r w:rsidRPr="0023318B">
        <w:rPr>
          <w:rFonts w:ascii="Arial" w:hAnsi="Arial" w:cs="Arial"/>
          <w:sz w:val="18"/>
          <w:szCs w:val="18"/>
        </w:rPr>
        <w:t xml:space="preserve">, że konsultacjom społecznym poddano nie całość </w:t>
      </w:r>
      <w:r>
        <w:rPr>
          <w:rFonts w:ascii="Arial" w:hAnsi="Arial" w:cs="Arial"/>
          <w:sz w:val="18"/>
          <w:szCs w:val="18"/>
        </w:rPr>
        <w:t>propozycji</w:t>
      </w:r>
      <w:r w:rsidRPr="0023318B">
        <w:rPr>
          <w:rFonts w:ascii="Arial" w:hAnsi="Arial" w:cs="Arial"/>
          <w:sz w:val="18"/>
          <w:szCs w:val="18"/>
        </w:rPr>
        <w:t xml:space="preserve">, a jedynie te dotyczące wykorzystania części grantowej. Warto </w:t>
      </w:r>
      <w:r>
        <w:rPr>
          <w:rFonts w:ascii="Arial" w:hAnsi="Arial" w:cs="Arial"/>
          <w:sz w:val="18"/>
          <w:szCs w:val="18"/>
        </w:rPr>
        <w:t>podkreślić iż ww. 12 mld euro</w:t>
      </w:r>
      <w:r w:rsidRPr="0023318B">
        <w:rPr>
          <w:rFonts w:ascii="Arial" w:hAnsi="Arial" w:cs="Arial"/>
          <w:sz w:val="18"/>
          <w:szCs w:val="18"/>
        </w:rPr>
        <w:t xml:space="preserve"> nie stanowi całości alokacji przyznanej Polsce w ramach części pożyczkowej Funduszu Odbudowy. Pojawia się zatem pytanie</w:t>
      </w:r>
      <w:r>
        <w:rPr>
          <w:rFonts w:ascii="Arial" w:hAnsi="Arial" w:cs="Arial"/>
          <w:sz w:val="18"/>
          <w:szCs w:val="18"/>
        </w:rPr>
        <w:t>,</w:t>
      </w:r>
      <w:r w:rsidRPr="0023318B">
        <w:rPr>
          <w:rFonts w:ascii="Arial" w:hAnsi="Arial" w:cs="Arial"/>
          <w:sz w:val="18"/>
          <w:szCs w:val="18"/>
        </w:rPr>
        <w:t xml:space="preserve"> na które w projekcie KPO nie znajdujemy odpowiedzi</w:t>
      </w:r>
      <w:r>
        <w:rPr>
          <w:rFonts w:ascii="Arial" w:hAnsi="Arial" w:cs="Arial"/>
          <w:sz w:val="18"/>
          <w:szCs w:val="18"/>
        </w:rPr>
        <w:t xml:space="preserve">, </w:t>
      </w:r>
      <w:r w:rsidRPr="0023318B">
        <w:rPr>
          <w:rFonts w:ascii="Arial" w:hAnsi="Arial" w:cs="Arial"/>
          <w:bCs/>
          <w:sz w:val="18"/>
          <w:szCs w:val="18"/>
        </w:rPr>
        <w:t xml:space="preserve">czy, kiedy i na co Polska zamierza wykorzystać również pozostałą dostępną alokację z części pożyczkowej w kwocie 22 mld </w:t>
      </w:r>
      <w:r>
        <w:rPr>
          <w:rFonts w:ascii="Arial" w:hAnsi="Arial" w:cs="Arial"/>
          <w:bCs/>
          <w:sz w:val="18"/>
          <w:szCs w:val="18"/>
        </w:rPr>
        <w:t>euro</w:t>
      </w:r>
      <w:r w:rsidRPr="0023318B">
        <w:rPr>
          <w:rFonts w:ascii="Arial" w:hAnsi="Arial" w:cs="Arial"/>
          <w:bCs/>
          <w:sz w:val="18"/>
          <w:szCs w:val="18"/>
        </w:rPr>
        <w:t>?</w:t>
      </w:r>
      <w:r w:rsidRPr="0023318B">
        <w:rPr>
          <w:rFonts w:ascii="Arial" w:hAnsi="Arial" w:cs="Arial"/>
          <w:sz w:val="18"/>
          <w:szCs w:val="18"/>
        </w:rPr>
        <w:t xml:space="preserve"> </w:t>
      </w:r>
    </w:p>
    <w:p w:rsidR="0023318B" w:rsidRPr="0023318B" w:rsidRDefault="0023318B" w:rsidP="0023318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Pr="0023318B">
        <w:rPr>
          <w:rFonts w:ascii="Arial" w:hAnsi="Arial" w:cs="Arial"/>
          <w:sz w:val="18"/>
          <w:szCs w:val="18"/>
        </w:rPr>
        <w:t>ajnowsza wersja projektu KPO zawiera szereg zmian</w:t>
      </w:r>
      <w:r>
        <w:rPr>
          <w:rFonts w:ascii="Arial" w:hAnsi="Arial" w:cs="Arial"/>
          <w:sz w:val="18"/>
          <w:szCs w:val="18"/>
        </w:rPr>
        <w:t xml:space="preserve">: </w:t>
      </w:r>
      <w:r w:rsidRPr="0023318B">
        <w:rPr>
          <w:rFonts w:ascii="Arial" w:hAnsi="Arial" w:cs="Arial"/>
          <w:sz w:val="18"/>
          <w:szCs w:val="18"/>
        </w:rPr>
        <w:t xml:space="preserve">dodano wiele dodatkowych reform, które mają lepiej uzasadniać planowane do sfinansowania inwestycje, doprecyzowano i </w:t>
      </w:r>
      <w:r>
        <w:rPr>
          <w:rFonts w:ascii="Arial" w:hAnsi="Arial" w:cs="Arial"/>
          <w:sz w:val="18"/>
          <w:szCs w:val="18"/>
        </w:rPr>
        <w:t>u</w:t>
      </w:r>
      <w:r w:rsidRPr="0023318B">
        <w:rPr>
          <w:rFonts w:ascii="Arial" w:hAnsi="Arial" w:cs="Arial"/>
          <w:sz w:val="18"/>
          <w:szCs w:val="18"/>
        </w:rPr>
        <w:t xml:space="preserve">szczegółowiono opisy, dokonano przesunięć kwot alokowanych na poszczególne typy inwestycji, jak również dokonano zmian w zakresach inwestycji możliwych do sfinansowania. </w:t>
      </w:r>
    </w:p>
    <w:p w:rsidR="0023318B" w:rsidRPr="0023318B" w:rsidRDefault="0023318B" w:rsidP="0023318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3318B">
        <w:rPr>
          <w:rFonts w:ascii="Arial" w:hAnsi="Arial" w:cs="Arial"/>
          <w:b/>
          <w:bCs/>
          <w:sz w:val="18"/>
          <w:szCs w:val="18"/>
        </w:rPr>
        <w:t>Komponent A „Odpornoś</w:t>
      </w:r>
      <w:r w:rsidR="007E6066">
        <w:rPr>
          <w:rFonts w:ascii="Arial" w:hAnsi="Arial" w:cs="Arial"/>
          <w:b/>
          <w:bCs/>
          <w:sz w:val="18"/>
          <w:szCs w:val="18"/>
        </w:rPr>
        <w:t>ć i konkurencyjność gospodarki”</w:t>
      </w:r>
    </w:p>
    <w:p w:rsidR="0023318B" w:rsidRPr="0023318B" w:rsidRDefault="0023318B" w:rsidP="0023318B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 xml:space="preserve">Zwiększono (z 300 do 500 mln </w:t>
      </w:r>
      <w:r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>) kwotę środków przeznaczonych na wsparcie inwestycji przedsiębiorstw związanych z dywersyfikacją działalności w celu wzmocnienia odporności na sytua</w:t>
      </w:r>
      <w:r>
        <w:rPr>
          <w:rFonts w:ascii="Arial" w:hAnsi="Arial" w:cs="Arial"/>
          <w:sz w:val="18"/>
          <w:szCs w:val="18"/>
        </w:rPr>
        <w:t>cje kryzysowe. D</w:t>
      </w:r>
      <w:r w:rsidRPr="0023318B">
        <w:rPr>
          <w:rFonts w:ascii="Arial" w:hAnsi="Arial" w:cs="Arial"/>
          <w:sz w:val="18"/>
          <w:szCs w:val="18"/>
        </w:rPr>
        <w:t>oprecyzowano</w:t>
      </w:r>
      <w:r w:rsidRPr="0023318B">
        <w:rPr>
          <w:rFonts w:ascii="Arial" w:hAnsi="Arial" w:cs="Arial"/>
          <w:sz w:val="18"/>
          <w:szCs w:val="18"/>
        </w:rPr>
        <w:t xml:space="preserve"> </w:t>
      </w:r>
      <w:r w:rsidRPr="0023318B">
        <w:rPr>
          <w:rFonts w:ascii="Arial" w:hAnsi="Arial" w:cs="Arial"/>
          <w:sz w:val="18"/>
          <w:szCs w:val="18"/>
        </w:rPr>
        <w:t xml:space="preserve">jednocześnie, iż wsparcie trafiać będzie wyłącznie do </w:t>
      </w:r>
      <w:r w:rsidR="007E6066">
        <w:rPr>
          <w:rFonts w:ascii="Arial" w:hAnsi="Arial" w:cs="Arial"/>
          <w:sz w:val="18"/>
          <w:szCs w:val="18"/>
        </w:rPr>
        <w:t xml:space="preserve">tych </w:t>
      </w:r>
      <w:r w:rsidRPr="0023318B">
        <w:rPr>
          <w:rFonts w:ascii="Arial" w:hAnsi="Arial" w:cs="Arial"/>
          <w:sz w:val="18"/>
          <w:szCs w:val="18"/>
        </w:rPr>
        <w:t>firm</w:t>
      </w:r>
      <w:r w:rsidR="007E6066">
        <w:rPr>
          <w:rFonts w:ascii="Arial" w:hAnsi="Arial" w:cs="Arial"/>
          <w:sz w:val="18"/>
          <w:szCs w:val="18"/>
        </w:rPr>
        <w:t>,</w:t>
      </w:r>
      <w:r w:rsidRPr="0023318B">
        <w:rPr>
          <w:rFonts w:ascii="Arial" w:hAnsi="Arial" w:cs="Arial"/>
          <w:sz w:val="18"/>
          <w:szCs w:val="18"/>
        </w:rPr>
        <w:t xml:space="preserve"> które ucierpiały </w:t>
      </w:r>
      <w:r w:rsidR="007E6066">
        <w:rPr>
          <w:rFonts w:ascii="Arial" w:hAnsi="Arial" w:cs="Arial"/>
          <w:sz w:val="18"/>
          <w:szCs w:val="18"/>
        </w:rPr>
        <w:t xml:space="preserve">na </w:t>
      </w:r>
      <w:r w:rsidRPr="0023318B">
        <w:rPr>
          <w:rFonts w:ascii="Arial" w:hAnsi="Arial" w:cs="Arial"/>
          <w:sz w:val="18"/>
          <w:szCs w:val="18"/>
        </w:rPr>
        <w:t>skutek pandemii.</w:t>
      </w:r>
    </w:p>
    <w:p w:rsidR="0023318B" w:rsidRPr="007E6066" w:rsidRDefault="0023318B" w:rsidP="0023318B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7E6066">
        <w:rPr>
          <w:rFonts w:ascii="Arial" w:hAnsi="Arial" w:cs="Arial"/>
          <w:sz w:val="18"/>
          <w:szCs w:val="18"/>
        </w:rPr>
        <w:lastRenderedPageBreak/>
        <w:t xml:space="preserve">Zwiększono </w:t>
      </w:r>
      <w:r w:rsidRPr="007E6066">
        <w:rPr>
          <w:rFonts w:ascii="Arial" w:hAnsi="Arial" w:cs="Arial"/>
          <w:bCs/>
          <w:sz w:val="18"/>
          <w:szCs w:val="18"/>
        </w:rPr>
        <w:t>(z 500 do 1</w:t>
      </w:r>
      <w:r w:rsidR="007E6066">
        <w:rPr>
          <w:rFonts w:ascii="Arial" w:hAnsi="Arial" w:cs="Arial"/>
          <w:bCs/>
          <w:sz w:val="18"/>
          <w:szCs w:val="18"/>
        </w:rPr>
        <w:t xml:space="preserve"> </w:t>
      </w:r>
      <w:r w:rsidRPr="007E6066">
        <w:rPr>
          <w:rFonts w:ascii="Arial" w:hAnsi="Arial" w:cs="Arial"/>
          <w:bCs/>
          <w:sz w:val="18"/>
          <w:szCs w:val="18"/>
        </w:rPr>
        <w:t xml:space="preserve">267 mln </w:t>
      </w:r>
      <w:r w:rsidR="007E6066">
        <w:rPr>
          <w:rFonts w:ascii="Arial" w:hAnsi="Arial" w:cs="Arial"/>
          <w:bCs/>
          <w:sz w:val="18"/>
          <w:szCs w:val="18"/>
        </w:rPr>
        <w:t>euro</w:t>
      </w:r>
      <w:r w:rsidRPr="007E6066">
        <w:rPr>
          <w:rFonts w:ascii="Arial" w:hAnsi="Arial" w:cs="Arial"/>
          <w:bCs/>
          <w:sz w:val="18"/>
          <w:szCs w:val="18"/>
        </w:rPr>
        <w:t>) kwotę środków przeznaczonych na wsparcie inwestycji związanych z optymalizacją łańcuchów dostaw produktów rolno-spożywczych i inwestycji MŚP w przetwórstwo rolno-spożywcze.</w:t>
      </w:r>
    </w:p>
    <w:p w:rsidR="00984B99" w:rsidRPr="00984B99" w:rsidRDefault="0023318B" w:rsidP="00984B99">
      <w:pPr>
        <w:pStyle w:val="Akapitzlist"/>
        <w:numPr>
          <w:ilvl w:val="0"/>
          <w:numId w:val="1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 xml:space="preserve">Nie zdecydowano się, aby wsparcie na infrastrukturę badawczo-rozwojową (budżet 490 mln </w:t>
      </w:r>
      <w:r w:rsidR="007E6066"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>) udostępnione zostało również przedsiębiorstwom prywatnym.</w:t>
      </w:r>
    </w:p>
    <w:p w:rsidR="0023318B" w:rsidRPr="0023318B" w:rsidRDefault="0023318B" w:rsidP="0023318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3318B">
        <w:rPr>
          <w:rFonts w:ascii="Arial" w:hAnsi="Arial" w:cs="Arial"/>
          <w:b/>
          <w:bCs/>
          <w:sz w:val="18"/>
          <w:szCs w:val="18"/>
        </w:rPr>
        <w:t>Komponent B „Zielona energia i zmniejszenie energochłonności”</w:t>
      </w:r>
    </w:p>
    <w:p w:rsidR="0023318B" w:rsidRPr="0023318B" w:rsidRDefault="0023318B" w:rsidP="0023318B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>W ramach części pożyczkowej dodano możliwość wsparcia morskich farm wiatrowych – budżet przewidziany na dofinansowanie tego typu projektów to aż 3</w:t>
      </w:r>
      <w:r w:rsidR="007E6066">
        <w:rPr>
          <w:rFonts w:ascii="Arial" w:hAnsi="Arial" w:cs="Arial"/>
          <w:sz w:val="18"/>
          <w:szCs w:val="18"/>
        </w:rPr>
        <w:t xml:space="preserve"> </w:t>
      </w:r>
      <w:r w:rsidRPr="0023318B">
        <w:rPr>
          <w:rFonts w:ascii="Arial" w:hAnsi="Arial" w:cs="Arial"/>
          <w:sz w:val="18"/>
          <w:szCs w:val="18"/>
        </w:rPr>
        <w:t xml:space="preserve">250 mln </w:t>
      </w:r>
      <w:r w:rsidR="007E6066"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 xml:space="preserve">, przy czym wsparcie ma być skierowane jedynie do projektów uprzednio zidentyfikowanych i zakwalifikowanych. </w:t>
      </w:r>
    </w:p>
    <w:p w:rsidR="0023318B" w:rsidRPr="0023318B" w:rsidRDefault="007E6066" w:rsidP="0023318B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23318B" w:rsidRPr="0023318B">
        <w:rPr>
          <w:rFonts w:ascii="Arial" w:hAnsi="Arial" w:cs="Arial"/>
          <w:sz w:val="18"/>
          <w:szCs w:val="18"/>
        </w:rPr>
        <w:t xml:space="preserve">większono dostępny budżet </w:t>
      </w:r>
      <w:r>
        <w:rPr>
          <w:rFonts w:ascii="Arial" w:hAnsi="Arial" w:cs="Arial"/>
          <w:sz w:val="18"/>
          <w:szCs w:val="18"/>
        </w:rPr>
        <w:t>na</w:t>
      </w:r>
      <w:r w:rsidRPr="0023318B">
        <w:rPr>
          <w:rFonts w:ascii="Arial" w:hAnsi="Arial" w:cs="Arial"/>
          <w:sz w:val="18"/>
          <w:szCs w:val="18"/>
        </w:rPr>
        <w:t xml:space="preserve"> wsparci</w:t>
      </w:r>
      <w:r>
        <w:rPr>
          <w:rFonts w:ascii="Arial" w:hAnsi="Arial" w:cs="Arial"/>
          <w:sz w:val="18"/>
          <w:szCs w:val="18"/>
        </w:rPr>
        <w:t>e</w:t>
      </w:r>
      <w:r w:rsidRPr="0023318B">
        <w:rPr>
          <w:rFonts w:ascii="Arial" w:hAnsi="Arial" w:cs="Arial"/>
          <w:sz w:val="18"/>
          <w:szCs w:val="18"/>
        </w:rPr>
        <w:t xml:space="preserve"> inwestycji przedsiębiorstw w OZE i efektywność energetyczną </w:t>
      </w:r>
      <w:r w:rsidR="0023318B" w:rsidRPr="0023318B">
        <w:rPr>
          <w:rFonts w:ascii="Arial" w:hAnsi="Arial" w:cs="Arial"/>
          <w:sz w:val="18"/>
          <w:szCs w:val="18"/>
        </w:rPr>
        <w:t xml:space="preserve">z drastycznie niskiego poziomu 28 mln </w:t>
      </w:r>
      <w:r>
        <w:rPr>
          <w:rFonts w:ascii="Arial" w:hAnsi="Arial" w:cs="Arial"/>
          <w:sz w:val="18"/>
          <w:szCs w:val="18"/>
        </w:rPr>
        <w:t>euro</w:t>
      </w:r>
      <w:r w:rsidR="0023318B" w:rsidRPr="0023318B">
        <w:rPr>
          <w:rFonts w:ascii="Arial" w:hAnsi="Arial" w:cs="Arial"/>
          <w:sz w:val="18"/>
          <w:szCs w:val="18"/>
        </w:rPr>
        <w:t xml:space="preserve"> do kwoty 300 mln</w:t>
      </w:r>
      <w:r>
        <w:rPr>
          <w:rFonts w:ascii="Arial" w:hAnsi="Arial" w:cs="Arial"/>
          <w:sz w:val="18"/>
          <w:szCs w:val="18"/>
        </w:rPr>
        <w:t xml:space="preserve"> euro</w:t>
      </w:r>
      <w:r w:rsidR="0023318B" w:rsidRPr="0023318B">
        <w:rPr>
          <w:rFonts w:ascii="Arial" w:hAnsi="Arial" w:cs="Arial"/>
          <w:sz w:val="18"/>
          <w:szCs w:val="18"/>
        </w:rPr>
        <w:t>, przy czym przewidziano wsparcie jedynie w stosunkowo mało atrakcyjnej formie pożyczek.</w:t>
      </w:r>
    </w:p>
    <w:p w:rsidR="0023318B" w:rsidRPr="0023318B" w:rsidRDefault="0023318B" w:rsidP="0023318B">
      <w:pPr>
        <w:pStyle w:val="Akapitzlist"/>
        <w:numPr>
          <w:ilvl w:val="0"/>
          <w:numId w:val="2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>Pozostawiono ograniczenie wsparcia na inwestycje w źródła ciepła tylko do projektów związanych z wytwarzaniem ciepł</w:t>
      </w:r>
      <w:r w:rsidR="007E6066">
        <w:rPr>
          <w:rFonts w:ascii="Arial" w:hAnsi="Arial" w:cs="Arial"/>
          <w:sz w:val="18"/>
          <w:szCs w:val="18"/>
        </w:rPr>
        <w:t>a</w:t>
      </w:r>
      <w:r w:rsidRPr="0023318B">
        <w:rPr>
          <w:rFonts w:ascii="Arial" w:hAnsi="Arial" w:cs="Arial"/>
          <w:sz w:val="18"/>
          <w:szCs w:val="18"/>
        </w:rPr>
        <w:t xml:space="preserve"> na potrzeby komunalno-bytowe.</w:t>
      </w:r>
    </w:p>
    <w:p w:rsidR="0023318B" w:rsidRPr="0023318B" w:rsidRDefault="0023318B" w:rsidP="0023318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3318B">
        <w:rPr>
          <w:rFonts w:ascii="Arial" w:hAnsi="Arial" w:cs="Arial"/>
          <w:b/>
          <w:bCs/>
          <w:sz w:val="18"/>
          <w:szCs w:val="18"/>
        </w:rPr>
        <w:t>Komponent C „Transformacja cyfrowa”</w:t>
      </w:r>
    </w:p>
    <w:p w:rsidR="0023318B" w:rsidRPr="007E6066" w:rsidRDefault="0023318B" w:rsidP="0023318B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bCs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 xml:space="preserve">Dodano (w części pożyczkowej) wsparcie inwestycji w sieci szerokopasmowe realizowane na obszarach rentownych z punktu widzenia inwestora komercyjnego – </w:t>
      </w:r>
      <w:r w:rsidRPr="007E6066">
        <w:rPr>
          <w:rFonts w:ascii="Arial" w:hAnsi="Arial" w:cs="Arial"/>
          <w:sz w:val="18"/>
          <w:szCs w:val="18"/>
        </w:rPr>
        <w:t xml:space="preserve">z </w:t>
      </w:r>
      <w:r w:rsidRPr="007E6066">
        <w:rPr>
          <w:rFonts w:ascii="Arial" w:hAnsi="Arial" w:cs="Arial"/>
          <w:bCs/>
          <w:sz w:val="18"/>
          <w:szCs w:val="18"/>
        </w:rPr>
        <w:t>budżetem 1</w:t>
      </w:r>
      <w:r w:rsidR="007E6066">
        <w:rPr>
          <w:rFonts w:ascii="Arial" w:hAnsi="Arial" w:cs="Arial"/>
          <w:bCs/>
          <w:sz w:val="18"/>
          <w:szCs w:val="18"/>
        </w:rPr>
        <w:t xml:space="preserve"> </w:t>
      </w:r>
      <w:r w:rsidRPr="007E6066">
        <w:rPr>
          <w:rFonts w:ascii="Arial" w:hAnsi="Arial" w:cs="Arial"/>
          <w:bCs/>
          <w:sz w:val="18"/>
          <w:szCs w:val="18"/>
        </w:rPr>
        <w:t>400 mln</w:t>
      </w:r>
      <w:r w:rsidR="007E6066">
        <w:rPr>
          <w:rFonts w:ascii="Arial" w:hAnsi="Arial" w:cs="Arial"/>
          <w:bCs/>
          <w:sz w:val="18"/>
          <w:szCs w:val="18"/>
        </w:rPr>
        <w:t xml:space="preserve"> euro.</w:t>
      </w:r>
    </w:p>
    <w:p w:rsidR="0023318B" w:rsidRPr="0023318B" w:rsidRDefault="0023318B" w:rsidP="0023318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3318B">
        <w:rPr>
          <w:rFonts w:ascii="Arial" w:hAnsi="Arial" w:cs="Arial"/>
          <w:b/>
          <w:bCs/>
          <w:sz w:val="18"/>
          <w:szCs w:val="18"/>
        </w:rPr>
        <w:t>Komponent D „Efektywność, dostępność i jakość systemu ochrony zdrowia”</w:t>
      </w:r>
    </w:p>
    <w:p w:rsidR="0023318B" w:rsidRPr="0023318B" w:rsidRDefault="0023318B" w:rsidP="007E6066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>Zwiększono środki na inwestycje związane z produkcją API w Polsce – z</w:t>
      </w:r>
      <w:r w:rsidR="007E6066">
        <w:rPr>
          <w:rFonts w:ascii="Arial" w:hAnsi="Arial" w:cs="Arial"/>
          <w:sz w:val="18"/>
          <w:szCs w:val="18"/>
        </w:rPr>
        <w:t>e</w:t>
      </w:r>
      <w:r w:rsidRPr="0023318B">
        <w:rPr>
          <w:rFonts w:ascii="Arial" w:hAnsi="Arial" w:cs="Arial"/>
          <w:sz w:val="18"/>
          <w:szCs w:val="18"/>
        </w:rPr>
        <w:t xml:space="preserve"> 193 do 300 mln </w:t>
      </w:r>
      <w:r w:rsidR="007E6066"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>, przenosząc jednocześnie całość finansowania do części pożyczkowej programu oraz nie definiując docelowej formy wsparcia dla beneficjentów końcowych. Wiązka została poszerzona o możliwość wsparcia projektów B+R m.in. w obszarze leków generycznych, a także możliwość uzyskania wsparcia w zakresie budowy lub rozbudowy infrastruktury do produkcji wyrobów medycznych.</w:t>
      </w:r>
    </w:p>
    <w:p w:rsidR="0023318B" w:rsidRPr="0023318B" w:rsidRDefault="00984B99" w:rsidP="0023318B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Komponent E „</w:t>
      </w:r>
      <w:r w:rsidR="0023318B" w:rsidRPr="0023318B">
        <w:rPr>
          <w:rFonts w:ascii="Arial" w:hAnsi="Arial" w:cs="Arial"/>
          <w:b/>
          <w:bCs/>
          <w:sz w:val="18"/>
          <w:szCs w:val="18"/>
        </w:rPr>
        <w:t>Zielona inteligentna mobilność”</w:t>
      </w:r>
    </w:p>
    <w:p w:rsidR="0023318B" w:rsidRPr="0023318B" w:rsidRDefault="0023318B" w:rsidP="0023318B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>W zakresie wsparcia na projekty intermodalne</w:t>
      </w:r>
      <w:r w:rsidR="00984B99">
        <w:rPr>
          <w:rFonts w:ascii="Arial" w:hAnsi="Arial" w:cs="Arial"/>
          <w:sz w:val="18"/>
          <w:szCs w:val="18"/>
        </w:rPr>
        <w:t>,</w:t>
      </w:r>
      <w:r w:rsidRPr="0023318B">
        <w:rPr>
          <w:rFonts w:ascii="Arial" w:hAnsi="Arial" w:cs="Arial"/>
          <w:sz w:val="18"/>
          <w:szCs w:val="18"/>
        </w:rPr>
        <w:t xml:space="preserve"> dodano możliwość finansowania inwestycji w tabor intermodalny, jednak uszczuplono (ze 185 na 175 mln </w:t>
      </w:r>
      <w:r w:rsidR="00984B99"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 xml:space="preserve">) i tak już niewielki budżet. </w:t>
      </w:r>
    </w:p>
    <w:p w:rsidR="00984B99" w:rsidRDefault="00984B99" w:rsidP="0023318B">
      <w:pPr>
        <w:jc w:val="both"/>
        <w:rPr>
          <w:rFonts w:ascii="Arial" w:hAnsi="Arial" w:cs="Arial"/>
          <w:sz w:val="18"/>
          <w:szCs w:val="18"/>
        </w:rPr>
      </w:pPr>
    </w:p>
    <w:p w:rsidR="0023318B" w:rsidRPr="00984B99" w:rsidRDefault="0023318B" w:rsidP="0023318B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984B99">
        <w:rPr>
          <w:rFonts w:ascii="Arial" w:hAnsi="Arial" w:cs="Arial"/>
          <w:sz w:val="18"/>
          <w:szCs w:val="18"/>
        </w:rPr>
        <w:t>Niestety</w:t>
      </w:r>
      <w:r w:rsidR="00984B99" w:rsidRPr="00984B99">
        <w:rPr>
          <w:rFonts w:ascii="Arial" w:hAnsi="Arial" w:cs="Arial"/>
          <w:sz w:val="18"/>
          <w:szCs w:val="18"/>
        </w:rPr>
        <w:t>,</w:t>
      </w:r>
      <w:r w:rsidRPr="00984B99">
        <w:rPr>
          <w:rFonts w:ascii="Arial" w:hAnsi="Arial" w:cs="Arial"/>
          <w:sz w:val="18"/>
          <w:szCs w:val="18"/>
        </w:rPr>
        <w:t xml:space="preserve"> zaproponowane w KPO zmiany w sposób istotny wpłynęły na ograniczenie puli </w:t>
      </w:r>
      <w:r w:rsidR="00984B99" w:rsidRPr="00984B99">
        <w:rPr>
          <w:rFonts w:ascii="Arial" w:hAnsi="Arial" w:cs="Arial"/>
          <w:sz w:val="18"/>
          <w:szCs w:val="18"/>
        </w:rPr>
        <w:t>środków</w:t>
      </w:r>
      <w:r w:rsidRPr="00984B99">
        <w:rPr>
          <w:rFonts w:ascii="Arial" w:hAnsi="Arial" w:cs="Arial"/>
          <w:sz w:val="18"/>
          <w:szCs w:val="18"/>
        </w:rPr>
        <w:t xml:space="preserve"> z jakiej będą mogli skorzystać polscy przedsiębiorcy.</w:t>
      </w:r>
      <w:r w:rsidRPr="0023318B">
        <w:rPr>
          <w:rFonts w:ascii="Arial" w:hAnsi="Arial" w:cs="Arial"/>
          <w:sz w:val="18"/>
          <w:szCs w:val="18"/>
        </w:rPr>
        <w:t xml:space="preserve"> </w:t>
      </w:r>
      <w:r w:rsidRPr="00984B99">
        <w:rPr>
          <w:rFonts w:ascii="Arial" w:hAnsi="Arial" w:cs="Arial"/>
          <w:bCs/>
          <w:color w:val="000000" w:themeColor="text1"/>
          <w:sz w:val="18"/>
          <w:szCs w:val="18"/>
        </w:rPr>
        <w:t xml:space="preserve">Wg szacunków </w:t>
      </w:r>
      <w:proofErr w:type="spellStart"/>
      <w:r w:rsidR="00984B99">
        <w:rPr>
          <w:rFonts w:ascii="Arial" w:hAnsi="Arial" w:cs="Arial"/>
          <w:bCs/>
          <w:color w:val="000000" w:themeColor="text1"/>
          <w:sz w:val="18"/>
          <w:szCs w:val="18"/>
        </w:rPr>
        <w:t>Crido</w:t>
      </w:r>
      <w:proofErr w:type="spellEnd"/>
      <w:r w:rsidR="00984B99">
        <w:rPr>
          <w:rFonts w:ascii="Arial" w:hAnsi="Arial" w:cs="Arial"/>
          <w:bCs/>
          <w:color w:val="000000" w:themeColor="text1"/>
          <w:sz w:val="18"/>
          <w:szCs w:val="18"/>
        </w:rPr>
        <w:t>,</w:t>
      </w:r>
      <w:r w:rsidRPr="00984B99">
        <w:rPr>
          <w:rFonts w:ascii="Arial" w:hAnsi="Arial" w:cs="Arial"/>
          <w:bCs/>
          <w:color w:val="000000" w:themeColor="text1"/>
          <w:sz w:val="18"/>
          <w:szCs w:val="18"/>
        </w:rPr>
        <w:t xml:space="preserve"> do firm w otwartych procedurach konkursowych trafi jedynie ok. 3,91 – 5,28 mld </w:t>
      </w:r>
      <w:r w:rsidR="00984B99">
        <w:rPr>
          <w:rFonts w:ascii="Arial" w:hAnsi="Arial" w:cs="Arial"/>
          <w:bCs/>
          <w:color w:val="000000" w:themeColor="text1"/>
          <w:sz w:val="18"/>
          <w:szCs w:val="18"/>
        </w:rPr>
        <w:t xml:space="preserve">euro </w:t>
      </w:r>
      <w:r w:rsidRPr="00984B99">
        <w:rPr>
          <w:rFonts w:ascii="Arial" w:hAnsi="Arial" w:cs="Arial"/>
          <w:bCs/>
          <w:color w:val="000000" w:themeColor="text1"/>
          <w:sz w:val="18"/>
          <w:szCs w:val="18"/>
        </w:rPr>
        <w:t>środków z części grantowej programu, co stanowić będzie ok. 16,4</w:t>
      </w:r>
      <w:r w:rsidR="00984B99">
        <w:rPr>
          <w:rFonts w:ascii="Arial" w:hAnsi="Arial" w:cs="Arial"/>
          <w:bCs/>
          <w:color w:val="000000" w:themeColor="text1"/>
          <w:sz w:val="18"/>
          <w:szCs w:val="18"/>
        </w:rPr>
        <w:t xml:space="preserve"> – </w:t>
      </w:r>
      <w:r w:rsidRPr="00984B99">
        <w:rPr>
          <w:rFonts w:ascii="Arial" w:hAnsi="Arial" w:cs="Arial"/>
          <w:bCs/>
          <w:color w:val="000000" w:themeColor="text1"/>
          <w:sz w:val="18"/>
          <w:szCs w:val="18"/>
        </w:rPr>
        <w:t>22,1</w:t>
      </w:r>
      <w:r w:rsidR="00984B99">
        <w:rPr>
          <w:rFonts w:ascii="Arial" w:hAnsi="Arial" w:cs="Arial"/>
          <w:bCs/>
          <w:color w:val="000000" w:themeColor="text1"/>
          <w:sz w:val="18"/>
          <w:szCs w:val="18"/>
        </w:rPr>
        <w:t xml:space="preserve"> proc. tej części KPO.</w:t>
      </w:r>
    </w:p>
    <w:p w:rsidR="0023318B" w:rsidRPr="0023318B" w:rsidRDefault="0023318B" w:rsidP="0023318B">
      <w:pPr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 xml:space="preserve">W </w:t>
      </w:r>
      <w:r w:rsidR="00984B99">
        <w:rPr>
          <w:rFonts w:ascii="Arial" w:hAnsi="Arial" w:cs="Arial"/>
          <w:sz w:val="18"/>
          <w:szCs w:val="18"/>
        </w:rPr>
        <w:t>odniesieniu do</w:t>
      </w:r>
      <w:r w:rsidRPr="0023318B">
        <w:rPr>
          <w:rFonts w:ascii="Arial" w:hAnsi="Arial" w:cs="Arial"/>
          <w:sz w:val="18"/>
          <w:szCs w:val="18"/>
        </w:rPr>
        <w:t xml:space="preserve"> części pożyczkowej</w:t>
      </w:r>
      <w:r w:rsidR="00984B99">
        <w:rPr>
          <w:rFonts w:ascii="Arial" w:hAnsi="Arial" w:cs="Arial"/>
          <w:sz w:val="18"/>
          <w:szCs w:val="18"/>
        </w:rPr>
        <w:t>,</w:t>
      </w:r>
      <w:r w:rsidRPr="0023318B">
        <w:rPr>
          <w:rFonts w:ascii="Arial" w:hAnsi="Arial" w:cs="Arial"/>
          <w:sz w:val="18"/>
          <w:szCs w:val="18"/>
        </w:rPr>
        <w:t xml:space="preserve"> mówimy o ok. 2 mld </w:t>
      </w:r>
      <w:r w:rsidR="00984B99"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 xml:space="preserve"> środków dla przedsiębiorców, co odpowiada jedynie 16,</w:t>
      </w:r>
      <w:r w:rsidR="00984B99">
        <w:rPr>
          <w:rFonts w:ascii="Arial" w:hAnsi="Arial" w:cs="Arial"/>
          <w:sz w:val="18"/>
          <w:szCs w:val="18"/>
        </w:rPr>
        <w:t>5% budżetu tej części programu.</w:t>
      </w:r>
    </w:p>
    <w:p w:rsidR="0023318B" w:rsidRPr="0023318B" w:rsidRDefault="0023318B" w:rsidP="0023318B">
      <w:pPr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b/>
          <w:bCs/>
          <w:color w:val="000000" w:themeColor="text1"/>
          <w:sz w:val="18"/>
          <w:szCs w:val="18"/>
        </w:rPr>
        <w:t>Uwzględniając oba strumienie finansowania</w:t>
      </w:r>
      <w:r w:rsidR="00984B99">
        <w:rPr>
          <w:rFonts w:ascii="Arial" w:hAnsi="Arial" w:cs="Arial"/>
          <w:b/>
          <w:bCs/>
          <w:color w:val="000000" w:themeColor="text1"/>
          <w:sz w:val="18"/>
          <w:szCs w:val="18"/>
        </w:rPr>
        <w:t>,</w:t>
      </w:r>
      <w:r w:rsidRPr="0023318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polscy przedsiębiorcy będą mogli liczyć na </w:t>
      </w:r>
      <w:r w:rsidR="00984B99">
        <w:rPr>
          <w:rFonts w:ascii="Arial" w:hAnsi="Arial" w:cs="Arial"/>
          <w:b/>
          <w:bCs/>
          <w:color w:val="000000" w:themeColor="text1"/>
          <w:sz w:val="18"/>
          <w:szCs w:val="18"/>
        </w:rPr>
        <w:t>maksymalnie</w:t>
      </w:r>
      <w:r w:rsidRPr="0023318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ok. 20% budżetu KPO</w:t>
      </w:r>
      <w:r w:rsidRPr="0023318B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984B99">
        <w:rPr>
          <w:rFonts w:ascii="Arial" w:hAnsi="Arial" w:cs="Arial"/>
          <w:b/>
          <w:sz w:val="18"/>
          <w:szCs w:val="18"/>
        </w:rPr>
        <w:t>przy czym istotną część tej kwoty stanowić będą inicjatywy skierowane do mocno zawężonego grona odbiorców</w:t>
      </w:r>
      <w:r w:rsidRPr="0023318B">
        <w:rPr>
          <w:rFonts w:ascii="Arial" w:hAnsi="Arial" w:cs="Arial"/>
          <w:sz w:val="18"/>
          <w:szCs w:val="18"/>
        </w:rPr>
        <w:t xml:space="preserve"> (projekty z zakresu infrastruktury cyfrowej w komponencie C opiewające łącznie na kwotę 2,6 mld </w:t>
      </w:r>
      <w:r w:rsidR="00984B99">
        <w:rPr>
          <w:rFonts w:ascii="Arial" w:hAnsi="Arial" w:cs="Arial"/>
          <w:sz w:val="18"/>
          <w:szCs w:val="18"/>
        </w:rPr>
        <w:t>euro</w:t>
      </w:r>
      <w:r w:rsidRPr="0023318B">
        <w:rPr>
          <w:rFonts w:ascii="Arial" w:hAnsi="Arial" w:cs="Arial"/>
          <w:sz w:val="18"/>
          <w:szCs w:val="18"/>
        </w:rPr>
        <w:t xml:space="preserve">). Kwota ta jest z pewnością niewspółmierna do potrzeb zgłaszanych przez przedsiębiorców w obliczu wyzwań z jakimi mierzy się polska gospodarka w dobie kryzysu pandemicznego. Wg naszych wstępnych szacunków </w:t>
      </w:r>
      <w:r w:rsidR="00984B99">
        <w:rPr>
          <w:rFonts w:ascii="Arial" w:hAnsi="Arial" w:cs="Arial"/>
          <w:sz w:val="18"/>
          <w:szCs w:val="18"/>
        </w:rPr>
        <w:t xml:space="preserve">dot. </w:t>
      </w:r>
      <w:r w:rsidRPr="0023318B">
        <w:rPr>
          <w:rFonts w:ascii="Arial" w:hAnsi="Arial" w:cs="Arial"/>
          <w:sz w:val="18"/>
          <w:szCs w:val="18"/>
        </w:rPr>
        <w:t>pierwotnej wersji KPO</w:t>
      </w:r>
      <w:r w:rsidR="00984B99">
        <w:rPr>
          <w:rFonts w:ascii="Arial" w:hAnsi="Arial" w:cs="Arial"/>
          <w:sz w:val="18"/>
          <w:szCs w:val="18"/>
        </w:rPr>
        <w:t>,</w:t>
      </w:r>
      <w:r w:rsidRPr="0023318B">
        <w:rPr>
          <w:rFonts w:ascii="Arial" w:hAnsi="Arial" w:cs="Arial"/>
          <w:sz w:val="18"/>
          <w:szCs w:val="18"/>
        </w:rPr>
        <w:t xml:space="preserve"> udział przedsiębiorstw w realizacji KPO miał wynieść ok. 27% (w całości w części dotacyjnej). </w:t>
      </w:r>
    </w:p>
    <w:p w:rsidR="0023318B" w:rsidRPr="0023318B" w:rsidRDefault="0023318B" w:rsidP="0023318B">
      <w:pPr>
        <w:jc w:val="both"/>
        <w:rPr>
          <w:rFonts w:ascii="Arial" w:hAnsi="Arial" w:cs="Arial"/>
          <w:sz w:val="18"/>
          <w:szCs w:val="18"/>
        </w:rPr>
      </w:pPr>
      <w:r w:rsidRPr="00984B99">
        <w:rPr>
          <w:rFonts w:ascii="Arial" w:hAnsi="Arial" w:cs="Arial"/>
          <w:sz w:val="18"/>
          <w:szCs w:val="18"/>
        </w:rPr>
        <w:t xml:space="preserve">Co warte podkreślenia, z przedstawionego w najnowszej wersji KPO zestawienia obrazującego podział środków finansowych </w:t>
      </w:r>
      <w:r w:rsidR="00984B99" w:rsidRPr="00984B99">
        <w:rPr>
          <w:rFonts w:ascii="Arial" w:hAnsi="Arial" w:cs="Arial"/>
          <w:bCs/>
          <w:sz w:val="18"/>
          <w:szCs w:val="18"/>
        </w:rPr>
        <w:t>p</w:t>
      </w:r>
      <w:r w:rsidRPr="00984B99">
        <w:rPr>
          <w:rFonts w:ascii="Arial" w:hAnsi="Arial" w:cs="Arial"/>
          <w:bCs/>
          <w:sz w:val="18"/>
          <w:szCs w:val="18"/>
        </w:rPr>
        <w:t>lanu pomiędzy sektorem prywatnym, samorządowym i rządowym (str. 460), wynika, że ten pierwszy może liczyć na ok. 31,2% budżetu KPO.</w:t>
      </w:r>
      <w:r w:rsidRPr="0023318B">
        <w:rPr>
          <w:rFonts w:ascii="Arial" w:hAnsi="Arial" w:cs="Arial"/>
          <w:sz w:val="18"/>
          <w:szCs w:val="18"/>
        </w:rPr>
        <w:t xml:space="preserve"> Niestety, sposób przyporządkowania określonych typów inwestycji do sektora prywatnego budzi, w naszej ocenie, duże wątpliwości</w:t>
      </w:r>
      <w:r w:rsidR="00984B99">
        <w:rPr>
          <w:rFonts w:ascii="Arial" w:hAnsi="Arial" w:cs="Arial"/>
          <w:sz w:val="18"/>
          <w:szCs w:val="18"/>
        </w:rPr>
        <w:t>. J</w:t>
      </w:r>
      <w:r w:rsidRPr="0023318B">
        <w:rPr>
          <w:rFonts w:ascii="Arial" w:hAnsi="Arial" w:cs="Arial"/>
          <w:sz w:val="18"/>
          <w:szCs w:val="18"/>
        </w:rPr>
        <w:t xml:space="preserve">ako inwestycje sektora prywatnego zostały bowiem wskazane takie przedsięwzięcia, jak m.in. </w:t>
      </w:r>
      <w:r w:rsidRPr="00175FAB">
        <w:rPr>
          <w:rFonts w:ascii="Arial" w:hAnsi="Arial" w:cs="Arial"/>
          <w:i/>
          <w:sz w:val="18"/>
          <w:szCs w:val="18"/>
        </w:rPr>
        <w:t>A2.3.1. Rozbudowa i wyposażenie centrów kompetencji (specjalistyczne ośrodki szkoleniowe, wsparcia wdrożeń, centra monitorowania) oraz infrastruktura do zarządzania ruchem bezzałogowych statków powietrznych, A3.1.1. Inwestycje w nowoczesne kształcenie zawodowe, szkolnictwo wyższe oraz uczenie się przez całe życie czy też B2.2.1. Rozwój sieci przesyłowych, inteligentna infrastruktura elektroenergetyczna</w:t>
      </w:r>
      <w:r w:rsidRPr="0023318B">
        <w:rPr>
          <w:rFonts w:ascii="Arial" w:hAnsi="Arial" w:cs="Arial"/>
          <w:sz w:val="18"/>
          <w:szCs w:val="18"/>
        </w:rPr>
        <w:t>, a więc projekty ewidentnie realizowane nie przez przedsiębiorców bądź przez podmioty, które mają status przedsiębiorstwa, ale w pełni zależne od Skarbu Państwa (np. PSE SA). Rzeczywisty udział przedsiębiorców w realizacji inicjatyw składających się na Krajowy Plan Odbudowy będzie niestety dużo niższy.</w:t>
      </w:r>
    </w:p>
    <w:p w:rsidR="0023318B" w:rsidRPr="0023318B" w:rsidRDefault="00175FAB" w:rsidP="0023318B">
      <w:pPr>
        <w:jc w:val="both"/>
        <w:rPr>
          <w:rFonts w:ascii="Arial" w:hAnsi="Arial" w:cs="Arial"/>
          <w:sz w:val="18"/>
          <w:szCs w:val="18"/>
        </w:rPr>
      </w:pPr>
      <w:r w:rsidRPr="00175FAB">
        <w:rPr>
          <w:rFonts w:ascii="Arial" w:hAnsi="Arial" w:cs="Arial"/>
          <w:bCs/>
          <w:sz w:val="18"/>
          <w:szCs w:val="18"/>
        </w:rPr>
        <w:lastRenderedPageBreak/>
        <w:t xml:space="preserve">Reasumując, </w:t>
      </w:r>
      <w:r>
        <w:rPr>
          <w:rFonts w:ascii="Arial" w:hAnsi="Arial" w:cs="Arial"/>
          <w:sz w:val="18"/>
          <w:szCs w:val="18"/>
        </w:rPr>
        <w:t>w</w:t>
      </w:r>
      <w:r w:rsidR="0023318B" w:rsidRPr="0023318B">
        <w:rPr>
          <w:rFonts w:ascii="Arial" w:hAnsi="Arial" w:cs="Arial"/>
          <w:sz w:val="18"/>
          <w:szCs w:val="18"/>
        </w:rPr>
        <w:t xml:space="preserve">prowadzone zmiany w bardzo niewielkim stopniu odnoszą się do uwag zgłaszanych w procesie konsultacji społecznych. W szczególności nie poprawiają znacząco jakości całego dokumentu, który nadal w wielu wymiarach jest niejasny. </w:t>
      </w:r>
      <w:r>
        <w:rPr>
          <w:rFonts w:ascii="Arial" w:hAnsi="Arial" w:cs="Arial"/>
          <w:sz w:val="18"/>
          <w:szCs w:val="18"/>
        </w:rPr>
        <w:t>C</w:t>
      </w:r>
      <w:r w:rsidR="0023318B" w:rsidRPr="0023318B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 xml:space="preserve">istotniejsze, </w:t>
      </w:r>
      <w:r w:rsidR="0023318B" w:rsidRPr="0023318B">
        <w:rPr>
          <w:rFonts w:ascii="Arial" w:hAnsi="Arial" w:cs="Arial"/>
          <w:sz w:val="18"/>
          <w:szCs w:val="18"/>
        </w:rPr>
        <w:t>zm</w:t>
      </w:r>
      <w:r>
        <w:rPr>
          <w:rFonts w:ascii="Arial" w:hAnsi="Arial" w:cs="Arial"/>
          <w:sz w:val="18"/>
          <w:szCs w:val="18"/>
        </w:rPr>
        <w:t>iany te nie przybliżają</w:t>
      </w:r>
      <w:r w:rsidR="0023318B" w:rsidRPr="0023318B">
        <w:rPr>
          <w:rFonts w:ascii="Arial" w:hAnsi="Arial" w:cs="Arial"/>
          <w:sz w:val="18"/>
          <w:szCs w:val="18"/>
        </w:rPr>
        <w:t xml:space="preserve"> tego</w:t>
      </w:r>
      <w:r>
        <w:rPr>
          <w:rFonts w:ascii="Arial" w:hAnsi="Arial" w:cs="Arial"/>
          <w:sz w:val="18"/>
          <w:szCs w:val="18"/>
        </w:rPr>
        <w:t xml:space="preserve"> dokumentu</w:t>
      </w:r>
      <w:r w:rsidR="0023318B" w:rsidRPr="0023318B">
        <w:rPr>
          <w:rFonts w:ascii="Arial" w:hAnsi="Arial" w:cs="Arial"/>
          <w:sz w:val="18"/>
          <w:szCs w:val="18"/>
        </w:rPr>
        <w:t xml:space="preserve">, aby mógł on być spójnym planem prezentującym pomysł Polski na to, jak wykorzystać 58 mld </w:t>
      </w:r>
      <w:r>
        <w:rPr>
          <w:rFonts w:ascii="Arial" w:hAnsi="Arial" w:cs="Arial"/>
          <w:sz w:val="18"/>
          <w:szCs w:val="18"/>
        </w:rPr>
        <w:t>euro</w:t>
      </w:r>
      <w:r w:rsidR="0023318B" w:rsidRPr="0023318B">
        <w:rPr>
          <w:rFonts w:ascii="Arial" w:hAnsi="Arial" w:cs="Arial"/>
          <w:sz w:val="18"/>
          <w:szCs w:val="18"/>
        </w:rPr>
        <w:t xml:space="preserve"> z unijnych środków na odbudowę (</w:t>
      </w:r>
      <w:proofErr w:type="spellStart"/>
      <w:r w:rsidR="0023318B" w:rsidRPr="0023318B">
        <w:rPr>
          <w:rFonts w:ascii="Arial" w:hAnsi="Arial" w:cs="Arial"/>
          <w:sz w:val="18"/>
          <w:szCs w:val="18"/>
        </w:rPr>
        <w:t>Recovery</w:t>
      </w:r>
      <w:proofErr w:type="spellEnd"/>
      <w:r w:rsidR="0023318B" w:rsidRPr="0023318B">
        <w:rPr>
          <w:rFonts w:ascii="Arial" w:hAnsi="Arial" w:cs="Arial"/>
          <w:sz w:val="18"/>
          <w:szCs w:val="18"/>
        </w:rPr>
        <w:t>) i wzmocnienie odporności (</w:t>
      </w:r>
      <w:proofErr w:type="spellStart"/>
      <w:r w:rsidR="0023318B" w:rsidRPr="0023318B">
        <w:rPr>
          <w:rFonts w:ascii="Arial" w:hAnsi="Arial" w:cs="Arial"/>
          <w:sz w:val="18"/>
          <w:szCs w:val="18"/>
        </w:rPr>
        <w:t>Resilience</w:t>
      </w:r>
      <w:proofErr w:type="spellEnd"/>
      <w:r w:rsidR="0023318B" w:rsidRPr="0023318B">
        <w:rPr>
          <w:rFonts w:ascii="Arial" w:hAnsi="Arial" w:cs="Arial"/>
          <w:sz w:val="18"/>
          <w:szCs w:val="18"/>
        </w:rPr>
        <w:t xml:space="preserve">) gospodarki poturbowanej pandemicznym kryzysem.   Mocno rozczarowuje również fakt, iż ten nowy „Plan Marshalla” w znaczącej mierze </w:t>
      </w:r>
      <w:r>
        <w:rPr>
          <w:rFonts w:ascii="Arial" w:hAnsi="Arial" w:cs="Arial"/>
          <w:sz w:val="18"/>
          <w:szCs w:val="18"/>
        </w:rPr>
        <w:t>nie jest przeznaczony dla firm.</w:t>
      </w:r>
    </w:p>
    <w:p w:rsidR="0023318B" w:rsidRPr="0023318B" w:rsidRDefault="0023318B" w:rsidP="0023318B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3318B">
        <w:rPr>
          <w:rFonts w:ascii="Arial" w:hAnsi="Arial" w:cs="Arial"/>
          <w:b/>
          <w:bCs/>
          <w:sz w:val="18"/>
          <w:szCs w:val="18"/>
        </w:rPr>
        <w:t>Co dalej?</w:t>
      </w:r>
    </w:p>
    <w:p w:rsidR="0023318B" w:rsidRPr="00175FAB" w:rsidRDefault="0023318B" w:rsidP="00175FAB">
      <w:pPr>
        <w:jc w:val="both"/>
        <w:rPr>
          <w:rFonts w:ascii="Arial" w:hAnsi="Arial" w:cs="Arial"/>
          <w:sz w:val="18"/>
          <w:szCs w:val="18"/>
        </w:rPr>
      </w:pPr>
      <w:r w:rsidRPr="0023318B">
        <w:rPr>
          <w:rFonts w:ascii="Arial" w:hAnsi="Arial" w:cs="Arial"/>
          <w:sz w:val="18"/>
          <w:szCs w:val="18"/>
        </w:rPr>
        <w:t>Zaakceptowany przez Radę Ministrów projekt KPO trafił do Komisji Europejskiej, która 3</w:t>
      </w:r>
      <w:r w:rsidR="00175FAB">
        <w:rPr>
          <w:rFonts w:ascii="Arial" w:hAnsi="Arial" w:cs="Arial"/>
          <w:sz w:val="18"/>
          <w:szCs w:val="18"/>
        </w:rPr>
        <w:t xml:space="preserve"> maja </w:t>
      </w:r>
      <w:r w:rsidRPr="0023318B">
        <w:rPr>
          <w:rFonts w:ascii="Arial" w:hAnsi="Arial" w:cs="Arial"/>
          <w:sz w:val="18"/>
          <w:szCs w:val="18"/>
        </w:rPr>
        <w:t xml:space="preserve">potwierdziła jego otrzymanie. Zgodnie z procedurą wynikającą z przepisów UE, Komisja ma dwa miesiące na ocenę planu, przy czym termin ten (za zgodą </w:t>
      </w:r>
      <w:r w:rsidR="00175FAB">
        <w:rPr>
          <w:rFonts w:ascii="Arial" w:hAnsi="Arial" w:cs="Arial"/>
          <w:sz w:val="18"/>
          <w:szCs w:val="18"/>
        </w:rPr>
        <w:t>p</w:t>
      </w:r>
      <w:r w:rsidRPr="0023318B">
        <w:rPr>
          <w:rFonts w:ascii="Arial" w:hAnsi="Arial" w:cs="Arial"/>
          <w:sz w:val="18"/>
          <w:szCs w:val="18"/>
        </w:rPr>
        <w:t xml:space="preserve">aństwa </w:t>
      </w:r>
      <w:r w:rsidR="00175FAB">
        <w:rPr>
          <w:rFonts w:ascii="Arial" w:hAnsi="Arial" w:cs="Arial"/>
          <w:sz w:val="18"/>
          <w:szCs w:val="18"/>
        </w:rPr>
        <w:t>c</w:t>
      </w:r>
      <w:r w:rsidRPr="0023318B">
        <w:rPr>
          <w:rFonts w:ascii="Arial" w:hAnsi="Arial" w:cs="Arial"/>
          <w:sz w:val="18"/>
          <w:szCs w:val="18"/>
        </w:rPr>
        <w:t>złonkowskiego) może ulec przedłużeniu „o rozsądny okres”. Jeśli Komisja oceni KPO pozytywnie – kieruje do Rady wniosek o zatwierdzenie KPO. Rada powinna podjąć decyzję w ciągu 4 tygodni od zakończenia oceny przez Komisję.</w:t>
      </w:r>
    </w:p>
    <w:p w:rsidR="0023318B" w:rsidRDefault="0023318B" w:rsidP="0023318B">
      <w:pPr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u w:val="single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u w:val="single"/>
          <w:lang w:eastAsia="pl-PL"/>
        </w:rPr>
        <w:t>Kontakt z ekspert</w:t>
      </w:r>
      <w:r w:rsidR="00175FAB">
        <w:rPr>
          <w:rFonts w:ascii="Arial" w:eastAsia="Calibri" w:hAnsi="Arial" w:cs="Arial"/>
          <w:bCs/>
          <w:color w:val="000000"/>
          <w:sz w:val="18"/>
          <w:szCs w:val="18"/>
          <w:u w:val="single"/>
          <w:lang w:eastAsia="pl-PL"/>
        </w:rPr>
        <w:t>em</w:t>
      </w:r>
      <w:r w:rsidRPr="009B7329">
        <w:rPr>
          <w:rFonts w:ascii="Arial" w:eastAsia="Calibri" w:hAnsi="Arial" w:cs="Arial"/>
          <w:bCs/>
          <w:color w:val="000000"/>
          <w:sz w:val="18"/>
          <w:szCs w:val="18"/>
          <w:u w:val="single"/>
          <w:lang w:eastAsia="pl-PL"/>
        </w:rPr>
        <w:t>:</w:t>
      </w:r>
    </w:p>
    <w:p w:rsidR="0023318B" w:rsidRDefault="0023318B" w:rsidP="0023318B">
      <w:pPr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23318B">
      <w:pPr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885726" cy="1211283"/>
            <wp:effectExtent l="0" t="0" r="0" b="8255"/>
            <wp:docPr id="5" name="Obraz 5" descr="C:\Users\emil.mucinski\Documents\BCC\LUDZIE BCC\CRIDO\Żółciński Szymon zdję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mil.mucinski\Documents\BCC\LUDZIE BCC\CRIDO\Żółciński Szymon zdjęc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15" cy="121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AB" w:rsidRDefault="00175FAB" w:rsidP="0023318B">
      <w:pPr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P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175FAB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Szymon Żółciński</w:t>
      </w: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175FAB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ekspert BCC ds. funduszy strukturalnych i pomocy publicznej</w:t>
      </w:r>
    </w:p>
    <w:p w:rsidR="00175FAB" w:rsidRP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partner w CRIDO</w:t>
      </w:r>
    </w:p>
    <w:p w:rsidR="00175FAB" w:rsidRP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tel.</w:t>
      </w:r>
      <w:r w:rsidRPr="00175FAB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602 674 500</w:t>
      </w:r>
    </w:p>
    <w:p w:rsidR="0023318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e-mail:</w:t>
      </w:r>
      <w:r w:rsidRPr="00175FAB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</w:t>
      </w:r>
      <w:hyperlink r:id="rId8" w:history="1">
        <w:r w:rsidRPr="006F27DB">
          <w:rPr>
            <w:rStyle w:val="Hipercze"/>
            <w:rFonts w:ascii="Arial" w:eastAsia="Calibri" w:hAnsi="Arial" w:cs="Arial"/>
            <w:bCs/>
            <w:sz w:val="18"/>
            <w:szCs w:val="18"/>
            <w:lang w:eastAsia="pl-PL"/>
          </w:rPr>
          <w:t>szymon.zolcinski@bcc.org.pl</w:t>
        </w:r>
      </w:hyperlink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175FAB" w:rsidRPr="00175FAB" w:rsidRDefault="00175FA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23318B" w:rsidRDefault="0023318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u w:val="single"/>
          <w:lang w:eastAsia="pl-PL"/>
        </w:rPr>
      </w:pPr>
    </w:p>
    <w:p w:rsidR="0023318B" w:rsidRPr="00AA66EB" w:rsidRDefault="0023318B" w:rsidP="00175FAB">
      <w:pPr>
        <w:spacing w:after="0" w:line="240" w:lineRule="auto"/>
        <w:jc w:val="both"/>
        <w:rPr>
          <w:rFonts w:ascii="Arial" w:eastAsia="Calibri" w:hAnsi="Arial" w:cs="Arial"/>
          <w:bCs/>
          <w:color w:val="000000"/>
          <w:sz w:val="18"/>
          <w:szCs w:val="18"/>
          <w:u w:val="single"/>
          <w:lang w:eastAsia="pl-PL"/>
        </w:rPr>
      </w:pPr>
      <w:r w:rsidRPr="00AA66EB">
        <w:rPr>
          <w:rFonts w:ascii="Arial" w:eastAsia="Calibri" w:hAnsi="Arial" w:cs="Arial"/>
          <w:bCs/>
          <w:color w:val="000000"/>
          <w:sz w:val="18"/>
          <w:szCs w:val="18"/>
          <w:u w:val="single"/>
          <w:lang w:eastAsia="pl-PL"/>
        </w:rPr>
        <w:t>Kontakt dla mediów:</w:t>
      </w:r>
    </w:p>
    <w:p w:rsidR="0023318B" w:rsidRPr="00AA66EB" w:rsidRDefault="0023318B" w:rsidP="00175FAB">
      <w:pPr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pl-PL"/>
        </w:rPr>
      </w:pPr>
    </w:p>
    <w:p w:rsidR="0023318B" w:rsidRPr="00A8175A" w:rsidRDefault="0023318B" w:rsidP="00175FAB">
      <w:pPr>
        <w:suppressAutoHyphens/>
        <w:spacing w:after="0" w:line="240" w:lineRule="auto"/>
        <w:rPr>
          <w:rFonts w:ascii="Arial" w:eastAsia="Arial Unicode MS" w:hAnsi="Arial" w:cs="Arial"/>
          <w:b/>
          <w:sz w:val="18"/>
          <w:szCs w:val="18"/>
          <w:lang w:eastAsia="ar-SA"/>
        </w:rPr>
      </w:pPr>
      <w:r w:rsidRPr="00A8175A"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23318B" w:rsidRPr="00A8175A" w:rsidRDefault="0023318B" w:rsidP="00175FAB">
      <w:pPr>
        <w:suppressAutoHyphens/>
        <w:spacing w:after="0" w:line="240" w:lineRule="auto"/>
        <w:rPr>
          <w:rFonts w:ascii="Arial" w:eastAsia="Arial Unicode MS" w:hAnsi="Arial" w:cs="Arial"/>
          <w:sz w:val="18"/>
          <w:szCs w:val="18"/>
          <w:lang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eastAsia="ar-SA"/>
        </w:rPr>
        <w:t>rzecznik, Instytut Interwencji Gospodarczych BCC</w:t>
      </w:r>
    </w:p>
    <w:p w:rsidR="0023318B" w:rsidRDefault="0023318B" w:rsidP="00175FAB">
      <w:pPr>
        <w:suppressAutoHyphens/>
        <w:spacing w:after="0" w:line="240" w:lineRule="auto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>tel. 602 571</w:t>
      </w:r>
      <w:r>
        <w:rPr>
          <w:rFonts w:ascii="Arial" w:eastAsia="Arial Unicode MS" w:hAnsi="Arial" w:cs="Arial"/>
          <w:sz w:val="18"/>
          <w:szCs w:val="18"/>
          <w:lang w:val="en-US" w:eastAsia="ar-SA"/>
        </w:rPr>
        <w:t> </w:t>
      </w:r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>395</w:t>
      </w:r>
    </w:p>
    <w:p w:rsidR="0023318B" w:rsidRDefault="0023318B" w:rsidP="00175FAB">
      <w:pPr>
        <w:suppressAutoHyphens/>
        <w:spacing w:after="0" w:line="240" w:lineRule="auto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A8175A"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9" w:history="1">
        <w:r w:rsidRPr="00A8175A">
          <w:rPr>
            <w:rFonts w:ascii="Arial" w:eastAsia="Arial Unicode MS" w:hAnsi="Arial" w:cs="Arial"/>
            <w:color w:val="146CB4"/>
            <w:sz w:val="18"/>
            <w:szCs w:val="18"/>
            <w:lang w:val="en-US" w:eastAsia="ar-SA"/>
          </w:rPr>
          <w:t>emil.mucinski@bcc.org.pl</w:t>
        </w:r>
      </w:hyperlink>
      <w:r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  <w:t xml:space="preserve"> </w:t>
      </w:r>
    </w:p>
    <w:p w:rsidR="0023318B" w:rsidRDefault="0023318B" w:rsidP="0023318B">
      <w:pPr>
        <w:suppressAutoHyphens/>
        <w:spacing w:after="0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23318B" w:rsidRPr="00A8175A" w:rsidRDefault="0023318B" w:rsidP="0023318B">
      <w:pPr>
        <w:suppressAutoHyphens/>
        <w:spacing w:after="0"/>
        <w:rPr>
          <w:rFonts w:ascii="Arial" w:eastAsia="Arial Unicode MS" w:hAnsi="Arial" w:cs="Arial"/>
          <w:color w:val="146CB4"/>
          <w:sz w:val="14"/>
          <w:szCs w:val="18"/>
          <w:lang w:val="en-US" w:eastAsia="ar-SA"/>
        </w:rPr>
      </w:pPr>
    </w:p>
    <w:p w:rsidR="0023318B" w:rsidRPr="00A8175A" w:rsidRDefault="0023318B" w:rsidP="0023318B">
      <w:pPr>
        <w:pBdr>
          <w:top w:val="single" w:sz="2" w:space="6" w:color="C00000"/>
        </w:pBdr>
        <w:spacing w:after="0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 w:rsidRPr="00A8175A"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Default="0023318B" w:rsidP="0023318B">
      <w:pPr>
        <w:spacing w:after="0"/>
        <w:jc w:val="both"/>
      </w:pPr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0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https://www.bcc.org.pl/strefa_eksperta/kontakty-do-ekspertow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1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https://www.bcc.org.pl/</w:t>
        </w:r>
      </w:hyperlink>
      <w:r w:rsidRPr="00A8175A"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2" w:history="1">
        <w:r w:rsidRPr="00A8175A">
          <w:rPr>
            <w:rFonts w:ascii="Calibri" w:eastAsia="Calibri" w:hAnsi="Calibri" w:cs="Calibri"/>
            <w:i/>
            <w:color w:val="808080" w:themeColor="background1" w:themeShade="80"/>
            <w:sz w:val="10"/>
            <w:szCs w:val="14"/>
          </w:rPr>
          <w:t>https://www.facebook.com/businesscentreclub</w:t>
        </w:r>
      </w:hyperlink>
      <w:bookmarkEnd w:id="0"/>
      <w:bookmarkEnd w:id="1"/>
      <w:bookmarkEnd w:id="2"/>
    </w:p>
    <w:sectPr w:rsidR="00435A1F" w:rsidSect="007A676C">
      <w:footerReference w:type="default" r:id="rId13"/>
      <w:pgSz w:w="11906" w:h="16838"/>
      <w:pgMar w:top="1134" w:right="1417" w:bottom="851" w:left="1417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563308"/>
      <w:docPartObj>
        <w:docPartGallery w:val="Page Numbers (Bottom of Page)"/>
        <w:docPartUnique/>
      </w:docPartObj>
    </w:sdtPr>
    <w:sdtEndPr/>
    <w:sdtContent>
      <w:p w:rsidR="00255A3E" w:rsidRDefault="00175FAB">
        <w:pPr>
          <w:pStyle w:val="Stopka"/>
          <w:jc w:val="right"/>
        </w:pPr>
        <w:r w:rsidRPr="00255A3E">
          <w:rPr>
            <w:rFonts w:cstheme="minorHAnsi"/>
            <w:sz w:val="18"/>
          </w:rPr>
          <w:fldChar w:fldCharType="begin"/>
        </w:r>
        <w:r w:rsidRPr="00255A3E">
          <w:rPr>
            <w:rFonts w:cstheme="minorHAnsi"/>
            <w:sz w:val="18"/>
          </w:rPr>
          <w:instrText>PAGE   \* MERGEFORMAT</w:instrText>
        </w:r>
        <w:r w:rsidRPr="00255A3E">
          <w:rPr>
            <w:rFonts w:cstheme="minorHAnsi"/>
            <w:sz w:val="18"/>
          </w:rPr>
          <w:fldChar w:fldCharType="separate"/>
        </w:r>
        <w:r>
          <w:rPr>
            <w:rFonts w:cstheme="minorHAnsi"/>
            <w:noProof/>
            <w:sz w:val="18"/>
          </w:rPr>
          <w:t>1</w:t>
        </w:r>
        <w:r w:rsidRPr="00255A3E">
          <w:rPr>
            <w:rFonts w:cstheme="minorHAnsi"/>
            <w:sz w:val="18"/>
          </w:rPr>
          <w:fldChar w:fldCharType="end"/>
        </w:r>
      </w:p>
    </w:sdtContent>
  </w:sdt>
  <w:p w:rsidR="00B453A4" w:rsidRDefault="00175FA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95637"/>
    <w:multiLevelType w:val="hybridMultilevel"/>
    <w:tmpl w:val="A498F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F60D9"/>
    <w:multiLevelType w:val="hybridMultilevel"/>
    <w:tmpl w:val="4A5E6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B7D95"/>
    <w:multiLevelType w:val="hybridMultilevel"/>
    <w:tmpl w:val="2B884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9547D"/>
    <w:multiLevelType w:val="hybridMultilevel"/>
    <w:tmpl w:val="2A44B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8B"/>
    <w:rsid w:val="00007A99"/>
    <w:rsid w:val="00175FAB"/>
    <w:rsid w:val="0023318B"/>
    <w:rsid w:val="005E08B2"/>
    <w:rsid w:val="007E6066"/>
    <w:rsid w:val="009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18B"/>
  </w:style>
  <w:style w:type="character" w:styleId="Hipercze">
    <w:name w:val="Hyperlink"/>
    <w:basedOn w:val="Domylnaczcionkaakapitu"/>
    <w:uiPriority w:val="99"/>
    <w:unhideWhenUsed/>
    <w:rsid w:val="002331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1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18B"/>
  </w:style>
  <w:style w:type="character" w:styleId="Hipercze">
    <w:name w:val="Hyperlink"/>
    <w:basedOn w:val="Domylnaczcionkaakapitu"/>
    <w:uiPriority w:val="99"/>
    <w:unhideWhenUsed/>
    <w:rsid w:val="002331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8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3318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ymon.zolcinski@bcc.org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businesscentreclu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bc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cc.org.pl/strefa_eksperta/kontakty-do-ekspert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il.mucinski@bcc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1406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1</cp:revision>
  <dcterms:created xsi:type="dcterms:W3CDTF">2021-05-10T06:48:00Z</dcterms:created>
  <dcterms:modified xsi:type="dcterms:W3CDTF">2021-05-10T07:28:00Z</dcterms:modified>
</cp:coreProperties>
</file>