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76" w:rsidRDefault="00CB7176" w:rsidP="00CB7176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C6F2DC6" wp14:editId="103BEAD6">
            <wp:extent cx="933856" cy="9338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zel z ornament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44" cy="9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76" w:rsidRPr="00BD40D3" w:rsidRDefault="00CB7176" w:rsidP="00CB7176">
      <w:pPr>
        <w:jc w:val="center"/>
      </w:pPr>
      <w:r>
        <w:rPr>
          <w:noProof/>
          <w:lang w:eastAsia="pl-PL"/>
        </w:rPr>
        <w:drawing>
          <wp:inline distT="0" distB="0" distL="0" distR="0" wp14:anchorId="30917EF3" wp14:editId="58BFEE18">
            <wp:extent cx="2500008" cy="69830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CC bez kwadrat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63" cy="71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176" w:rsidRPr="00FD11AA" w:rsidRDefault="00CB7176" w:rsidP="00CB7176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eastAsia="Times New Roman" w:cstheme="minorHAnsi"/>
          <w:b/>
          <w:bCs/>
          <w:smallCaps/>
          <w:color w:val="003366"/>
          <w:sz w:val="20"/>
          <w:szCs w:val="20"/>
        </w:rPr>
      </w:pPr>
      <w:r w:rsidRPr="00FD11AA">
        <w:rPr>
          <w:rFonts w:eastAsia="Times New Roman" w:cstheme="minorHAnsi"/>
          <w:sz w:val="20"/>
          <w:szCs w:val="20"/>
        </w:rPr>
        <w:t xml:space="preserve">Warszawa, </w:t>
      </w:r>
      <w:r>
        <w:rPr>
          <w:rFonts w:eastAsia="Times New Roman" w:cstheme="minorHAnsi"/>
          <w:sz w:val="20"/>
          <w:szCs w:val="20"/>
        </w:rPr>
        <w:t>21 września</w:t>
      </w:r>
      <w:r w:rsidRPr="00FD11AA">
        <w:rPr>
          <w:rFonts w:eastAsia="Times New Roman" w:cstheme="minorHAnsi"/>
          <w:sz w:val="20"/>
          <w:szCs w:val="20"/>
        </w:rPr>
        <w:t xml:space="preserve"> 2018 r.</w:t>
      </w:r>
    </w:p>
    <w:p w:rsidR="00CB7176" w:rsidRPr="0035016A" w:rsidRDefault="00CB7176" w:rsidP="00CB7176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808080" w:themeColor="background1" w:themeShade="80"/>
          <w:sz w:val="56"/>
          <w:szCs w:val="56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56"/>
          <w:szCs w:val="56"/>
        </w:rPr>
        <w:t>TAX ALERT</w:t>
      </w:r>
    </w:p>
    <w:p w:rsidR="00CB7176" w:rsidRDefault="00CB7176" w:rsidP="00CB7176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:rsidR="00CB7176" w:rsidRPr="00CB7176" w:rsidRDefault="00CB7176" w:rsidP="00CB7176">
      <w:pPr>
        <w:spacing w:after="0" w:line="276" w:lineRule="auto"/>
        <w:jc w:val="center"/>
        <w:rPr>
          <w:rFonts w:ascii="Calibri" w:eastAsia="Calibri" w:hAnsi="Calibri" w:cs="Calibri"/>
          <w:bCs/>
          <w:sz w:val="40"/>
          <w:szCs w:val="32"/>
        </w:rPr>
      </w:pPr>
      <w:r w:rsidRPr="00CB7176">
        <w:rPr>
          <w:rFonts w:ascii="Calibri" w:eastAsia="Calibri" w:hAnsi="Calibri" w:cs="Calibri"/>
          <w:b/>
          <w:bCs/>
          <w:sz w:val="40"/>
          <w:szCs w:val="32"/>
        </w:rPr>
        <w:t>Złożenie CIT-TP oraz oświadczeń o posiadaniu dokumentacji cen transferowych</w:t>
      </w:r>
    </w:p>
    <w:p w:rsidR="00217BC7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>Zbliża się termin wypełnienia obowiązków sprawozdawczych w zakresie cen transferowych za rok podatkowy kończący się 31 grudnia 2017 r.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b/>
          <w:bCs/>
          <w:lang w:eastAsia="pl-PL"/>
        </w:rPr>
      </w:pPr>
      <w:r w:rsidRPr="00CB7176">
        <w:rPr>
          <w:rFonts w:eastAsia="MS Mincho" w:cstheme="minorHAnsi"/>
          <w:b/>
          <w:bCs/>
          <w:lang w:eastAsia="pl-PL"/>
        </w:rPr>
        <w:t>CIT-TP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>Obowiązek złożenia CIT-TP dotyczy podatników:</w:t>
      </w:r>
    </w:p>
    <w:p w:rsidR="00CB7176" w:rsidRPr="00CB7176" w:rsidRDefault="00CB7176" w:rsidP="00CB7176">
      <w:pPr>
        <w:numPr>
          <w:ilvl w:val="0"/>
          <w:numId w:val="7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 xml:space="preserve">zobligowanych do sporządzania dokumentacji podatkowej </w:t>
      </w:r>
    </w:p>
    <w:p w:rsidR="00CB7176" w:rsidRPr="00CB7176" w:rsidRDefault="00CB7176" w:rsidP="00CB7176">
      <w:pPr>
        <w:numPr>
          <w:ilvl w:val="0"/>
          <w:numId w:val="7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których przychody lub koszty, w rozumieniu przepisów o rachunkowości, przekroczyły w danym roku podatkowym równowartość 10 mln euro.</w:t>
      </w: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Cambria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>O obowiązku złożenia CIT-TP za dany rok decyduje poziom przychodów / kosztów w danym roku. Przykładowo, według tej reguły obowiązek złożenia CIT-TP za 2017 r. oceniamy na podstawie poziomu przychodów / kosztów rachunkowych spółki w 2017 r.  Należy pamiętać o ujęciu w CIT-TP informacji dotyczących zapłaty należności na rzecz podmiotów mających siedzibę w państwach i terytoriach, stosujących szkodliwą konkurencję podatkową (jeśli takie miały miejsce).</w:t>
      </w: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 xml:space="preserve">W załączeniu </w:t>
      </w:r>
      <w:r w:rsidR="00217BC7">
        <w:rPr>
          <w:rFonts w:eastAsia="MS Mincho" w:cstheme="minorHAnsi"/>
          <w:lang w:eastAsia="pl-PL"/>
        </w:rPr>
        <w:t>znajduje się</w:t>
      </w:r>
      <w:r w:rsidRPr="00CB7176">
        <w:rPr>
          <w:rFonts w:eastAsia="MS Mincho" w:cstheme="minorHAnsi"/>
          <w:lang w:eastAsia="pl-PL"/>
        </w:rPr>
        <w:t xml:space="preserve"> aktualny (udostępniony przez Ministerstwo Finansów) formularz CIT-TP. Od 6 lipca br. obowiązuje druga wersja formularzy CIT – TP i PIT – TP. Aktualizacja miała na celu m.in. wprowadzenie rozróżnienia między podatnikiem składającym sprawozdanie, a podmiotem, którego ono dotyczy, dzięki czemu umożliwio</w:t>
      </w:r>
      <w:r w:rsidR="00217BC7">
        <w:rPr>
          <w:rFonts w:eastAsia="MS Mincho" w:cstheme="minorHAnsi"/>
          <w:lang w:eastAsia="pl-PL"/>
        </w:rPr>
        <w:t>no odrębne wykazanie transakcji</w:t>
      </w:r>
      <w:r w:rsidRPr="00CB7176">
        <w:rPr>
          <w:rFonts w:eastAsia="MS Mincho" w:cstheme="minorHAnsi"/>
          <w:lang w:eastAsia="pl-PL"/>
        </w:rPr>
        <w:t>/innych zdarzeń dokonywanych przez spółki tworzące PGK, jak i odrębne wykazanie informacji dotyczącej podatnika</w:t>
      </w:r>
      <w:r w:rsidR="00217BC7">
        <w:rPr>
          <w:rFonts w:eastAsia="MS Mincho" w:cstheme="minorHAnsi"/>
          <w:lang w:eastAsia="pl-PL"/>
        </w:rPr>
        <w:t xml:space="preserve"> </w:t>
      </w:r>
      <w:r w:rsidRPr="00CB7176">
        <w:rPr>
          <w:rFonts w:eastAsia="MS Mincho" w:cstheme="minorHAnsi"/>
          <w:lang w:eastAsia="pl-PL"/>
        </w:rPr>
        <w:t xml:space="preserve">i/lub spółek niebędących osobą prawną, dla których podatnik ten został wyznaczony do przygotowania dokumentacji podatkowych. </w:t>
      </w: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 xml:space="preserve">Formularz CIT-TP należy wysłać w wersji elektronicznej za pomocą e-Deklaracje lub złożyć w formie papierowej we właściwym urzędzie skarbowym. </w:t>
      </w: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contextualSpacing/>
        <w:jc w:val="both"/>
        <w:rPr>
          <w:rFonts w:eastAsia="MS Mincho" w:cstheme="minorHAnsi"/>
          <w:lang w:val="en-US" w:eastAsia="pl-PL"/>
        </w:rPr>
      </w:pPr>
      <w:proofErr w:type="spellStart"/>
      <w:r w:rsidRPr="00CB7176">
        <w:rPr>
          <w:rFonts w:eastAsia="MS Mincho" w:cstheme="minorHAnsi"/>
          <w:lang w:val="en-US" w:eastAsia="pl-PL"/>
        </w:rPr>
        <w:t>Istotne</w:t>
      </w:r>
      <w:proofErr w:type="spellEnd"/>
      <w:r w:rsidRPr="00CB7176">
        <w:rPr>
          <w:rFonts w:eastAsia="MS Mincho" w:cstheme="minorHAnsi"/>
          <w:lang w:val="en-US" w:eastAsia="pl-PL"/>
        </w:rPr>
        <w:t xml:space="preserve"> </w:t>
      </w:r>
      <w:proofErr w:type="spellStart"/>
      <w:r w:rsidRPr="00CB7176">
        <w:rPr>
          <w:rFonts w:eastAsia="MS Mincho" w:cstheme="minorHAnsi"/>
          <w:lang w:val="en-US" w:eastAsia="pl-PL"/>
        </w:rPr>
        <w:t>kwestie</w:t>
      </w:r>
      <w:proofErr w:type="spellEnd"/>
      <w:r w:rsidRPr="00CB7176">
        <w:rPr>
          <w:rFonts w:eastAsia="MS Mincho" w:cstheme="minorHAnsi"/>
          <w:lang w:val="en-US" w:eastAsia="pl-PL"/>
        </w:rPr>
        <w:t>: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należy wypełniać tylko te pozycje, które dotyczą podatnika,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lastRenderedPageBreak/>
        <w:t>kluczowe części sprawozdania CIT-TP dotyczą informacji o rodzajach powiązań wewnątrzgrupowych (także osobowych z tytułu udziału w zarządzaniu lub w kontroli), profilu funkcjonalnym podatnika, rodzaju i wartości transakcji realizowanych z podmiotami powiązanymi, restrukturyzacjach i nieodpłatnych świadczeniach,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przypadku określenia profilu funkcjonalnego można zaznaczyć więcej niż jedną pozycję, gdy podmiot prowadzi różnorodną działalność (przy czym w sekcji E wskazuje się maksymalnie dwa kody podstawowej działalności wg klasyfikacji PKD) 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przypadku spółki osobowej, próg 10 mln euro, który obliguje do złożenia sprawozdania CIT-TP, odnosi się do przychodów/kosztów w rozumieniu przepisów o rachunkowości, osiągniętych przez spółkę osobową w roku podatkowym,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imieniu spółki niebędącej osobą prawną sprawozdanie składa wyznaczony wspólnik. Aktualna wersja formularza CIT-TP daje możliwość rozróżnienia pomiędzy składającym sprawozdanie a podmiotem, którego ono dotyczy,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wartości transakcji powinny być analizowane i uwzględnione netto,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wartości transakcji wskazywane w sekcji G poniżej 0,5 mln PLN nie są wykazywane w sekcji G,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przypadku wartości transakcji należy uwzględnić łączną wartość transakcji ujętych w danej kategorii, realizowanych przez podatnika ze wszystkimi podmiotami powiązanymi,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sekcji G do obliczenia udziału w przychodach bierze się całość przychodów podatnika, ze wszystkich pozycji przychodowych w rachunku zysków i strat,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procentowy udział wartości transakcji w przychodach zaokrągla się do pełnego procenta,</w:t>
      </w:r>
    </w:p>
    <w:p w:rsidR="00CB7176" w:rsidRPr="00CB7176" w:rsidRDefault="00CB7176" w:rsidP="00CB7176">
      <w:pPr>
        <w:numPr>
          <w:ilvl w:val="0"/>
          <w:numId w:val="8"/>
        </w:numPr>
        <w:spacing w:before="120" w:after="120" w:line="320" w:lineRule="exact"/>
        <w:contextualSpacing/>
        <w:jc w:val="both"/>
        <w:rPr>
          <w:rFonts w:eastAsia="Times New Roman" w:cstheme="minorHAnsi"/>
          <w:lang w:eastAsia="pl-PL"/>
        </w:rPr>
      </w:pPr>
      <w:r w:rsidRPr="00CB7176">
        <w:rPr>
          <w:rFonts w:eastAsia="Times New Roman" w:cstheme="minorHAnsi"/>
          <w:lang w:eastAsia="pl-PL"/>
        </w:rPr>
        <w:t>w formularzu CIT-TP należy umieścić informacje na temat wszystkich transakcji realizowanych z podmiotami powiązanymi, których wartość wynosi co najmniej 0,5 mln PLN, również</w:t>
      </w:r>
      <w:r w:rsidR="00217BC7">
        <w:rPr>
          <w:rFonts w:eastAsia="Times New Roman" w:cstheme="minorHAnsi"/>
          <w:lang w:eastAsia="pl-PL"/>
        </w:rPr>
        <w:t xml:space="preserve"> </w:t>
      </w:r>
      <w:r w:rsidRPr="00CB7176">
        <w:rPr>
          <w:rFonts w:eastAsia="Times New Roman" w:cstheme="minorHAnsi"/>
          <w:lang w:eastAsia="pl-PL"/>
        </w:rPr>
        <w:t>w sytuacji gdy podatnik nie ma obowiązku dokumentacyjnego wobec tych transakcji.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>Podobne zasady obowiązują przy wypełnianiu PIT-TP.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b/>
          <w:bCs/>
          <w:lang w:eastAsia="pl-PL"/>
        </w:rPr>
      </w:pPr>
      <w:r w:rsidRPr="00CB7176">
        <w:rPr>
          <w:rFonts w:eastAsia="MS Mincho" w:cstheme="minorHAnsi"/>
          <w:b/>
          <w:bCs/>
          <w:lang w:eastAsia="pl-PL"/>
        </w:rPr>
        <w:t>Oświadczenie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>Podatnicy, którzy zobowiązani są do sporządzenia dokumentacji podatkowej, muszą również złożyć oświadczenie o wypełnieniu ciążącego na nich obowiązku dokumentacyjnego. Oświadczenie to nie dotyczy informacji, o których mowa w art. 9a ust. 2d CIT (tj. nie obejmuje dokumentacji grupowej, tzw. master file).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 xml:space="preserve">Stosowne oświadczenie należy złożyć we właściwym dla podatku dochodowego urzędzie skarbowym w terminie do końca 9 miesiąca po zakończeniu roku podatkowego. Oświadczenie o sporządzeniu dokumentacji należy złożyć w formie papierowej lub wysłać do właściwego urzędu skarbowego za pośrednictwem platformy </w:t>
      </w:r>
      <w:proofErr w:type="spellStart"/>
      <w:r w:rsidRPr="00CB7176">
        <w:rPr>
          <w:rFonts w:eastAsia="MS Mincho" w:cstheme="minorHAnsi"/>
          <w:lang w:eastAsia="pl-PL"/>
        </w:rPr>
        <w:t>ePUAP</w:t>
      </w:r>
      <w:proofErr w:type="spellEnd"/>
      <w:r w:rsidRPr="00CB7176">
        <w:rPr>
          <w:rFonts w:eastAsia="MS Mincho" w:cstheme="minorHAnsi"/>
          <w:lang w:eastAsia="pl-PL"/>
        </w:rPr>
        <w:t>.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  <w:r w:rsidRPr="00CB7176">
        <w:rPr>
          <w:rFonts w:eastAsia="MS Mincho" w:cstheme="minorHAnsi"/>
          <w:lang w:eastAsia="pl-PL"/>
        </w:rPr>
        <w:t xml:space="preserve">Załączony przez nas wzór oświadczenia bazuje na przykładowym wzorze oświadczenia o sporządzeniu dokumentacji podatkowej, udostępnionym przez Ministerstwo Finansów. Oświadczenie nie jest dostępne w formie dokumentu elektronicznego. </w:t>
      </w: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lang w:eastAsia="pl-PL"/>
        </w:rPr>
      </w:pPr>
    </w:p>
    <w:p w:rsidR="00CB7176" w:rsidRPr="00CB7176" w:rsidRDefault="00CB7176" w:rsidP="00CB7176">
      <w:pPr>
        <w:spacing w:before="120" w:after="120" w:line="320" w:lineRule="exact"/>
        <w:jc w:val="both"/>
        <w:rPr>
          <w:rFonts w:eastAsia="MS Mincho" w:cstheme="minorHAnsi"/>
          <w:b/>
          <w:u w:val="single"/>
          <w:lang w:eastAsia="pl-PL"/>
        </w:rPr>
      </w:pPr>
      <w:r w:rsidRPr="00CB7176">
        <w:rPr>
          <w:rFonts w:eastAsia="MS Mincho" w:cstheme="minorHAnsi"/>
          <w:b/>
          <w:noProof/>
          <w:u w:val="single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3C2763B4" wp14:editId="4E28BEEA">
            <wp:simplePos x="0" y="0"/>
            <wp:positionH relativeFrom="column">
              <wp:posOffset>4445</wp:posOffset>
            </wp:positionH>
            <wp:positionV relativeFrom="paragraph">
              <wp:posOffset>374015</wp:posOffset>
            </wp:positionV>
            <wp:extent cx="2040890" cy="1530350"/>
            <wp:effectExtent l="0" t="0" r="0" b="0"/>
            <wp:wrapTopAndBottom/>
            <wp:docPr id="7" name="Obraz 7" descr="Krystyna  SzydÅ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ystyna  SzydÅows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176">
        <w:rPr>
          <w:rFonts w:eastAsia="MS Mincho" w:cstheme="minorHAnsi"/>
          <w:b/>
          <w:u w:val="single"/>
          <w:lang w:eastAsia="pl-PL"/>
        </w:rPr>
        <w:t>Kontakt</w:t>
      </w:r>
      <w:r>
        <w:rPr>
          <w:rFonts w:eastAsia="MS Mincho" w:cstheme="minorHAnsi"/>
          <w:b/>
          <w:u w:val="single"/>
          <w:lang w:eastAsia="pl-PL"/>
        </w:rPr>
        <w:t xml:space="preserve"> do ekspert</w:t>
      </w:r>
      <w:r w:rsidRPr="00CB7176">
        <w:rPr>
          <w:rFonts w:eastAsia="MS Mincho" w:cstheme="minorHAnsi"/>
          <w:b/>
          <w:u w:val="single"/>
          <w:lang w:eastAsia="pl-PL"/>
        </w:rPr>
        <w:t>a:</w:t>
      </w:r>
      <w:bookmarkStart w:id="0" w:name="_GoBack"/>
      <w:bookmarkEnd w:id="0"/>
    </w:p>
    <w:p w:rsidR="00CB7176" w:rsidRDefault="00CB7176" w:rsidP="00CB7176">
      <w:pPr>
        <w:spacing w:after="0" w:line="288" w:lineRule="auto"/>
        <w:jc w:val="both"/>
        <w:rPr>
          <w:rFonts w:eastAsia="MS Mincho" w:cstheme="minorHAnsi"/>
          <w:b/>
          <w:bCs/>
          <w:lang w:eastAsia="pl-PL"/>
        </w:rPr>
      </w:pPr>
    </w:p>
    <w:p w:rsidR="00CB7176" w:rsidRPr="00CB7176" w:rsidRDefault="00CB7176" w:rsidP="00CB7176">
      <w:pPr>
        <w:spacing w:after="0" w:line="288" w:lineRule="auto"/>
        <w:jc w:val="both"/>
        <w:rPr>
          <w:rFonts w:eastAsia="MS Mincho" w:cstheme="minorHAnsi"/>
          <w:b/>
          <w:bCs/>
          <w:lang w:eastAsia="pl-PL"/>
        </w:rPr>
      </w:pPr>
      <w:r w:rsidRPr="00CB7176">
        <w:rPr>
          <w:rFonts w:eastAsia="MS Mincho" w:cstheme="minorHAnsi"/>
          <w:b/>
          <w:bCs/>
          <w:lang w:eastAsia="pl-PL"/>
        </w:rPr>
        <w:t xml:space="preserve">Krystyna Szydłowska                               </w:t>
      </w:r>
      <w:r w:rsidRPr="00CB7176">
        <w:rPr>
          <w:rFonts w:eastAsia="MS Mincho" w:cstheme="minorHAnsi"/>
          <w:b/>
          <w:bCs/>
          <w:lang w:eastAsia="pl-PL"/>
        </w:rPr>
        <w:tab/>
      </w:r>
      <w:r w:rsidRPr="00CB7176">
        <w:rPr>
          <w:rFonts w:eastAsia="MS Mincho" w:cstheme="minorHAnsi"/>
          <w:b/>
          <w:bCs/>
          <w:lang w:eastAsia="pl-PL"/>
        </w:rPr>
        <w:tab/>
        <w:t xml:space="preserve">                    </w:t>
      </w:r>
    </w:p>
    <w:p w:rsidR="00CB7176" w:rsidRDefault="00CB7176" w:rsidP="00CB7176">
      <w:pPr>
        <w:spacing w:after="0" w:line="288" w:lineRule="auto"/>
        <w:jc w:val="both"/>
        <w:rPr>
          <w:rFonts w:eastAsia="MS Mincho" w:cstheme="minorHAnsi"/>
          <w:bCs/>
          <w:lang w:val="en-US" w:eastAsia="pl-PL"/>
        </w:rPr>
      </w:pPr>
      <w:proofErr w:type="spellStart"/>
      <w:r w:rsidRPr="00CB7176">
        <w:rPr>
          <w:rFonts w:eastAsia="MS Mincho" w:cstheme="minorHAnsi"/>
          <w:bCs/>
          <w:lang w:val="en-US" w:eastAsia="pl-PL"/>
        </w:rPr>
        <w:t>ekspertka</w:t>
      </w:r>
      <w:proofErr w:type="spellEnd"/>
      <w:r w:rsidRPr="00CB7176">
        <w:rPr>
          <w:rFonts w:eastAsia="MS Mincho" w:cstheme="minorHAnsi"/>
          <w:bCs/>
          <w:lang w:val="en-US" w:eastAsia="pl-PL"/>
        </w:rPr>
        <w:t xml:space="preserve"> BCC ds. </w:t>
      </w:r>
      <w:proofErr w:type="spellStart"/>
      <w:r w:rsidRPr="00CB7176">
        <w:rPr>
          <w:rFonts w:eastAsia="MS Mincho" w:cstheme="minorHAnsi"/>
          <w:bCs/>
          <w:lang w:val="en-US" w:eastAsia="pl-PL"/>
        </w:rPr>
        <w:t>cen</w:t>
      </w:r>
      <w:proofErr w:type="spellEnd"/>
      <w:r w:rsidRPr="00CB7176">
        <w:rPr>
          <w:rFonts w:eastAsia="MS Mincho" w:cstheme="minorHAnsi"/>
          <w:bCs/>
          <w:lang w:val="en-US" w:eastAsia="pl-PL"/>
        </w:rPr>
        <w:t xml:space="preserve"> </w:t>
      </w:r>
      <w:proofErr w:type="spellStart"/>
      <w:r w:rsidRPr="00CB7176">
        <w:rPr>
          <w:rFonts w:eastAsia="MS Mincho" w:cstheme="minorHAnsi"/>
          <w:bCs/>
          <w:lang w:val="en-US" w:eastAsia="pl-PL"/>
        </w:rPr>
        <w:t>transferowych</w:t>
      </w:r>
      <w:proofErr w:type="spellEnd"/>
    </w:p>
    <w:p w:rsidR="00CB7176" w:rsidRPr="00CB7176" w:rsidRDefault="00CB7176" w:rsidP="00CB7176">
      <w:pPr>
        <w:spacing w:after="0" w:line="288" w:lineRule="auto"/>
        <w:jc w:val="both"/>
        <w:rPr>
          <w:rFonts w:eastAsia="MS Mincho" w:cstheme="minorHAnsi"/>
          <w:bCs/>
          <w:lang w:eastAsia="pl-PL"/>
        </w:rPr>
      </w:pPr>
      <w:r w:rsidRPr="00CB7176">
        <w:rPr>
          <w:rFonts w:eastAsia="MS Mincho" w:cstheme="minorHAnsi"/>
          <w:bCs/>
          <w:lang w:eastAsia="pl-PL"/>
        </w:rPr>
        <w:t>Lider Praktyki Cen Transferowych</w:t>
      </w:r>
      <w:r>
        <w:rPr>
          <w:rFonts w:eastAsia="MS Mincho" w:cstheme="minorHAnsi"/>
          <w:bCs/>
          <w:lang w:eastAsia="pl-PL"/>
        </w:rPr>
        <w:t xml:space="preserve"> </w:t>
      </w:r>
      <w:r w:rsidR="00217BC7">
        <w:rPr>
          <w:rFonts w:eastAsia="MS Mincho" w:cstheme="minorHAnsi"/>
          <w:bCs/>
          <w:lang w:eastAsia="pl-PL"/>
        </w:rPr>
        <w:t xml:space="preserve">w Kancelarii </w:t>
      </w:r>
      <w:r>
        <w:rPr>
          <w:rFonts w:eastAsia="MS Mincho" w:cstheme="minorHAnsi"/>
          <w:bCs/>
          <w:lang w:eastAsia="pl-PL"/>
        </w:rPr>
        <w:t xml:space="preserve">Ożóg </w:t>
      </w:r>
      <w:proofErr w:type="spellStart"/>
      <w:r>
        <w:rPr>
          <w:rFonts w:eastAsia="MS Mincho" w:cstheme="minorHAnsi"/>
          <w:bCs/>
          <w:lang w:eastAsia="pl-PL"/>
        </w:rPr>
        <w:t>Tomczykowski</w:t>
      </w:r>
      <w:proofErr w:type="spellEnd"/>
      <w:r w:rsidRPr="00CB7176">
        <w:rPr>
          <w:rFonts w:eastAsia="MS Mincho" w:cstheme="minorHAnsi"/>
          <w:bCs/>
          <w:lang w:eastAsia="pl-PL"/>
        </w:rPr>
        <w:t xml:space="preserve">                            </w:t>
      </w:r>
    </w:p>
    <w:p w:rsidR="00CB7176" w:rsidRPr="00CB7176" w:rsidRDefault="00CB7176" w:rsidP="00CB7176">
      <w:pPr>
        <w:spacing w:after="0" w:line="288" w:lineRule="auto"/>
        <w:jc w:val="both"/>
        <w:rPr>
          <w:rFonts w:eastAsia="MS Mincho" w:cstheme="minorHAnsi"/>
          <w:bCs/>
          <w:lang w:val="en-US" w:eastAsia="pl-PL"/>
        </w:rPr>
      </w:pPr>
      <w:r>
        <w:rPr>
          <w:rFonts w:eastAsia="MS Mincho" w:cstheme="minorHAnsi"/>
          <w:bCs/>
          <w:lang w:val="en-US" w:eastAsia="pl-PL"/>
        </w:rPr>
        <w:t>tel.</w:t>
      </w:r>
      <w:r w:rsidRPr="00CB7176">
        <w:rPr>
          <w:rFonts w:eastAsia="MS Mincho" w:cstheme="minorHAnsi"/>
          <w:bCs/>
          <w:lang w:val="en-US" w:eastAsia="pl-PL"/>
        </w:rPr>
        <w:t xml:space="preserve"> 885 505 310</w:t>
      </w:r>
    </w:p>
    <w:p w:rsidR="00CB7176" w:rsidRDefault="00CB7176" w:rsidP="00CB7176">
      <w:pPr>
        <w:spacing w:after="0" w:line="288" w:lineRule="auto"/>
        <w:jc w:val="both"/>
        <w:rPr>
          <w:rFonts w:ascii="Calibri" w:eastAsia="MS Mincho" w:hAnsi="Calibri" w:cs="Calibri"/>
          <w:color w:val="132441"/>
          <w:lang w:val="en-US" w:eastAsia="pl-PL"/>
        </w:rPr>
      </w:pPr>
      <w:r>
        <w:rPr>
          <w:rFonts w:eastAsia="MS Mincho" w:cstheme="minorHAnsi"/>
          <w:bCs/>
          <w:lang w:val="en-US" w:eastAsia="pl-PL"/>
        </w:rPr>
        <w:t xml:space="preserve">e-mail: </w:t>
      </w:r>
      <w:hyperlink r:id="rId11" w:history="1">
        <w:r w:rsidRPr="00CF4266">
          <w:rPr>
            <w:rStyle w:val="Hipercze"/>
            <w:rFonts w:eastAsia="MS Mincho" w:cstheme="minorHAnsi"/>
            <w:bCs/>
            <w:lang w:val="en-US" w:eastAsia="pl-PL"/>
          </w:rPr>
          <w:t>krystyna.szydlowska@bcc.org.pl</w:t>
        </w:r>
      </w:hyperlink>
    </w:p>
    <w:p w:rsidR="00CB7176" w:rsidRPr="00CB7176" w:rsidRDefault="00CB7176" w:rsidP="00CB7176">
      <w:pPr>
        <w:spacing w:after="0" w:line="288" w:lineRule="auto"/>
        <w:jc w:val="both"/>
        <w:rPr>
          <w:rFonts w:ascii="Calibri" w:eastAsia="MS Mincho" w:hAnsi="Calibri" w:cs="Calibri"/>
          <w:color w:val="132441"/>
          <w:u w:val="single"/>
          <w:lang w:val="en-US" w:eastAsia="pl-PL"/>
        </w:rPr>
      </w:pPr>
    </w:p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Default="00CB7176" w:rsidP="00CB7176"/>
    <w:p w:rsidR="00CB7176" w:rsidRPr="00167024" w:rsidRDefault="00CB7176" w:rsidP="00CB717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37FE" wp14:editId="6BB7F8F7">
                <wp:simplePos x="0" y="0"/>
                <wp:positionH relativeFrom="column">
                  <wp:posOffset>-52070</wp:posOffset>
                </wp:positionH>
                <wp:positionV relativeFrom="paragraph">
                  <wp:posOffset>241935</wp:posOffset>
                </wp:positionV>
                <wp:extent cx="581977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9.05pt" to="454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" strokecolor="#c00000"/>
            </w:pict>
          </mc:Fallback>
        </mc:AlternateContent>
      </w:r>
    </w:p>
    <w:p w:rsidR="00CB7176" w:rsidRPr="00436CEA" w:rsidRDefault="00CB7176" w:rsidP="00CB7176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color w:val="808080" w:themeColor="background1" w:themeShade="80"/>
          <w:sz w:val="14"/>
          <w:szCs w:val="18"/>
        </w:rPr>
      </w:pPr>
      <w:r w:rsidRPr="00436CEA">
        <w:rPr>
          <w:rFonts w:eastAsia="Times New Roman" w:cstheme="minorHAnsi"/>
          <w:b/>
          <w:bCs/>
          <w:color w:val="808080" w:themeColor="background1" w:themeShade="80"/>
          <w:sz w:val="14"/>
          <w:szCs w:val="18"/>
        </w:rPr>
        <w:t>Business Centre Club</w:t>
      </w: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 istnieje od 1991 roku. Jest prestiżowym Klubem przedsiębiorców i największą w kraju, ustawową organizacją indywidualnych pracodawców. Grupa BCC składa się z Klubu BCC, Związku Pracodawców BCC i Studenckiego Forum BCC. Członkowie BCC zatrudniają ponad 400 tys. pracowników, obroty firm sięgają 20 miliardów złotych. Wśród członków BCC znajdują się największe korporacje krajowe i zagraniczne. Członkami Klubu są także uczelnie wyższe, wydawnictwa, szpitale, prawnicy, dziennikarze, naukowcy, lekarze, wojskowi i studenci. BCC prowadzi działania w blisko 250 miastach i 23 lożach regionalnych na terenie całej Polski. Koncentruje się na działaniach na rzecz rozwoju gospodarki i pomocy przedsiębiorcom. BCC jest członkiem Rady Dialogu Społecznego. Koordynatorem wszystkich działań BCC jest Marek Goliszewski.</w:t>
      </w:r>
    </w:p>
    <w:p w:rsidR="00CC0BA2" w:rsidRPr="00CB7176" w:rsidRDefault="00CB7176" w:rsidP="00CB7176">
      <w:pPr>
        <w:tabs>
          <w:tab w:val="left" w:pos="426"/>
          <w:tab w:val="left" w:pos="8647"/>
        </w:tabs>
        <w:spacing w:after="0" w:line="240" w:lineRule="auto"/>
        <w:jc w:val="both"/>
        <w:rPr>
          <w:rFonts w:cstheme="minorHAnsi"/>
          <w:color w:val="808080" w:themeColor="background1" w:themeShade="80"/>
          <w:sz w:val="16"/>
          <w:szCs w:val="20"/>
        </w:rPr>
      </w:pP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Kontakty prasowe: </w:t>
      </w:r>
      <w:hyperlink r:id="rId12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http://www.bcc.org.pl/Eksperci.244.0.html</w:t>
        </w:r>
      </w:hyperlink>
      <w:r>
        <w:rPr>
          <w:rStyle w:val="Hipercze"/>
          <w:rFonts w:eastAsia="Times New Roman" w:cstheme="minorHAnsi"/>
          <w:color w:val="808080" w:themeColor="background1" w:themeShade="80"/>
          <w:sz w:val="14"/>
          <w:szCs w:val="18"/>
        </w:rPr>
        <w:t xml:space="preserve">, </w:t>
      </w:r>
      <w:r>
        <w:rPr>
          <w:rFonts w:eastAsia="Times New Roman" w:cstheme="minorHAnsi"/>
          <w:color w:val="808080" w:themeColor="background1" w:themeShade="80"/>
          <w:sz w:val="14"/>
          <w:szCs w:val="18"/>
        </w:rPr>
        <w:t>w</w:t>
      </w:r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ięcej: </w:t>
      </w:r>
      <w:hyperlink r:id="rId13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http://www.bcc.org.pl</w:t>
        </w:r>
      </w:hyperlink>
      <w:r w:rsidRPr="00436CEA">
        <w:rPr>
          <w:rFonts w:eastAsia="Times New Roman" w:cstheme="minorHAnsi"/>
          <w:color w:val="808080" w:themeColor="background1" w:themeShade="80"/>
          <w:sz w:val="14"/>
          <w:szCs w:val="18"/>
        </w:rPr>
        <w:t xml:space="preserve"> oraz: </w:t>
      </w:r>
      <w:hyperlink r:id="rId14" w:history="1">
        <w:r w:rsidRPr="00436CEA">
          <w:rPr>
            <w:rStyle w:val="Hipercze"/>
            <w:rFonts w:eastAsia="Times New Roman" w:cstheme="minorHAnsi"/>
            <w:color w:val="808080" w:themeColor="background1" w:themeShade="80"/>
            <w:sz w:val="14"/>
            <w:szCs w:val="18"/>
          </w:rPr>
          <w:t>http://www.facebook.com/pages/Business-Centre-Club</w:t>
        </w:r>
      </w:hyperlink>
    </w:p>
    <w:sectPr w:rsidR="00CC0BA2" w:rsidRPr="00CB7176" w:rsidSect="00F75E2A">
      <w:footerReference w:type="default" r:id="rId15"/>
      <w:pgSz w:w="11906" w:h="16838"/>
      <w:pgMar w:top="1135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3A" w:rsidRDefault="0046093A">
      <w:pPr>
        <w:spacing w:after="0" w:line="240" w:lineRule="auto"/>
      </w:pPr>
      <w:r>
        <w:separator/>
      </w:r>
    </w:p>
  </w:endnote>
  <w:endnote w:type="continuationSeparator" w:id="0">
    <w:p w:rsidR="0046093A" w:rsidRDefault="0046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56763"/>
      <w:docPartObj>
        <w:docPartGallery w:val="Page Numbers (Bottom of Page)"/>
        <w:docPartUnique/>
      </w:docPartObj>
    </w:sdtPr>
    <w:sdtEndPr/>
    <w:sdtContent>
      <w:p w:rsidR="00F75E2A" w:rsidRDefault="00CB71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7E">
          <w:rPr>
            <w:noProof/>
          </w:rPr>
          <w:t>1</w:t>
        </w:r>
        <w:r>
          <w:fldChar w:fldCharType="end"/>
        </w:r>
      </w:p>
    </w:sdtContent>
  </w:sdt>
  <w:p w:rsidR="00F75E2A" w:rsidRDefault="00460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3A" w:rsidRDefault="0046093A">
      <w:pPr>
        <w:spacing w:after="0" w:line="240" w:lineRule="auto"/>
      </w:pPr>
      <w:r>
        <w:separator/>
      </w:r>
    </w:p>
  </w:footnote>
  <w:footnote w:type="continuationSeparator" w:id="0">
    <w:p w:rsidR="0046093A" w:rsidRDefault="0046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5C6"/>
    <w:multiLevelType w:val="hybridMultilevel"/>
    <w:tmpl w:val="BC105E44"/>
    <w:lvl w:ilvl="0" w:tplc="C5EC6A6C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07487EAC"/>
    <w:multiLevelType w:val="hybridMultilevel"/>
    <w:tmpl w:val="9148E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1FAD"/>
    <w:multiLevelType w:val="hybridMultilevel"/>
    <w:tmpl w:val="A1ACD318"/>
    <w:lvl w:ilvl="0" w:tplc="C5EC6A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A07DE"/>
    <w:multiLevelType w:val="hybridMultilevel"/>
    <w:tmpl w:val="DC0067E0"/>
    <w:lvl w:ilvl="0" w:tplc="C5EC6A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701B"/>
    <w:multiLevelType w:val="hybridMultilevel"/>
    <w:tmpl w:val="E1121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4F67"/>
    <w:multiLevelType w:val="hybridMultilevel"/>
    <w:tmpl w:val="4A04DDDE"/>
    <w:lvl w:ilvl="0" w:tplc="C5EC6A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0E79D5"/>
    <w:multiLevelType w:val="hybridMultilevel"/>
    <w:tmpl w:val="524698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9DB1404"/>
    <w:multiLevelType w:val="hybridMultilevel"/>
    <w:tmpl w:val="2EF4D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76"/>
    <w:rsid w:val="00217BC7"/>
    <w:rsid w:val="0046093A"/>
    <w:rsid w:val="00BF307E"/>
    <w:rsid w:val="00CB7176"/>
    <w:rsid w:val="00C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7176"/>
    <w:rPr>
      <w:color w:val="0000FF" w:themeColor="hyperlink"/>
      <w:u w:val="single"/>
    </w:rPr>
  </w:style>
  <w:style w:type="paragraph" w:customStyle="1" w:styleId="Zwykytekst1">
    <w:name w:val="Zwykły tekst1"/>
    <w:basedOn w:val="Normalny"/>
    <w:rsid w:val="00CB7176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Akapitzlist">
    <w:name w:val="List Paragraph"/>
    <w:basedOn w:val="Normalny"/>
    <w:uiPriority w:val="34"/>
    <w:qFormat/>
    <w:rsid w:val="00CB71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B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76"/>
  </w:style>
  <w:style w:type="paragraph" w:styleId="Tekstdymka">
    <w:name w:val="Balloon Text"/>
    <w:basedOn w:val="Normalny"/>
    <w:link w:val="TekstdymkaZnak"/>
    <w:uiPriority w:val="99"/>
    <w:semiHidden/>
    <w:unhideWhenUsed/>
    <w:rsid w:val="00CB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1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7176"/>
    <w:rPr>
      <w:color w:val="0000FF" w:themeColor="hyperlink"/>
      <w:u w:val="single"/>
    </w:rPr>
  </w:style>
  <w:style w:type="paragraph" w:customStyle="1" w:styleId="Zwykytekst1">
    <w:name w:val="Zwykły tekst1"/>
    <w:basedOn w:val="Normalny"/>
    <w:rsid w:val="00CB7176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Akapitzlist">
    <w:name w:val="List Paragraph"/>
    <w:basedOn w:val="Normalny"/>
    <w:uiPriority w:val="34"/>
    <w:qFormat/>
    <w:rsid w:val="00CB71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B7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76"/>
  </w:style>
  <w:style w:type="paragraph" w:styleId="Tekstdymka">
    <w:name w:val="Balloon Text"/>
    <w:basedOn w:val="Normalny"/>
    <w:link w:val="TekstdymkaZnak"/>
    <w:uiPriority w:val="99"/>
    <w:semiHidden/>
    <w:unhideWhenUsed/>
    <w:rsid w:val="00CB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cc.org.pl/Eksperci.244.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ystyna.szydlowska@bcc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acebook.com/pages/Business-Centre-Club/3017541420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Emil Muciński</cp:lastModifiedBy>
  <cp:revision>3</cp:revision>
  <cp:lastPrinted>2018-09-21T10:54:00Z</cp:lastPrinted>
  <dcterms:created xsi:type="dcterms:W3CDTF">2018-09-21T10:06:00Z</dcterms:created>
  <dcterms:modified xsi:type="dcterms:W3CDTF">2018-09-21T10:54:00Z</dcterms:modified>
</cp:coreProperties>
</file>